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header2.xml" ContentType="application/vnd.openxmlformats-officedocument.wordprocessingml.header+xml"/>
  <Override PartName="/word/media/image1.png" ContentType="image/png"/>
  <Override PartName="/word/media/image2.png" ContentType="image/png"/>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cs="Arial"/>
          <w:color w:val="5B5B5F"/>
          <w:sz w:val="32"/>
          <w:szCs w:val="32"/>
        </w:rPr>
      </w:pPr>
      <w:r>
        <w:rPr>
          <w:rFonts w:cs="Arial"/>
          <w:color w:val="5B5B5F"/>
          <w:sz w:val="32"/>
          <w:szCs w:val="32"/>
        </w:rPr>
      </w:r>
    </w:p>
    <w:p>
      <w:pPr>
        <w:pStyle w:val="Normal"/>
        <w:rPr>
          <w:rFonts w:cs="Arial"/>
          <w:color w:val="5B5B5F"/>
          <w:sz w:val="32"/>
          <w:szCs w:val="32"/>
        </w:rPr>
      </w:pPr>
      <w:r>
        <w:rPr>
          <w:rFonts w:cs="Arial"/>
          <w:color w:val="5B5B5F"/>
          <w:sz w:val="32"/>
          <w:szCs w:val="32"/>
        </w:rPr>
      </w:r>
    </w:p>
    <w:p>
      <w:pPr>
        <w:pStyle w:val="Normal"/>
        <w:rPr>
          <w:rFonts w:cs="Arial"/>
          <w:b/>
          <w:b/>
          <w:bCs/>
          <w:i/>
          <w:i/>
          <w:iCs/>
          <w:color w:val="FF0000"/>
          <w:szCs w:val="18"/>
        </w:rPr>
      </w:pPr>
      <w:r>
        <w:rPr>
          <w:rFonts w:cs="Arial"/>
          <w:color w:val="5B5B5F"/>
          <w:sz w:val="36"/>
          <w:szCs w:val="36"/>
        </w:rPr>
        <w:t>Aviso de</w:t>
      </w:r>
      <w:r>
        <w:rPr>
          <w:rFonts w:cs="Arial"/>
          <w:color w:val="FF0000"/>
          <w:szCs w:val="18"/>
        </w:rPr>
        <w:t xml:space="preserve"> </w:t>
      </w:r>
    </w:p>
    <w:p>
      <w:pPr>
        <w:pStyle w:val="Normal"/>
        <w:rPr>
          <w:rFonts w:cs="Arial"/>
          <w:color w:val="405CA1"/>
          <w:sz w:val="56"/>
          <w:szCs w:val="56"/>
        </w:rPr>
      </w:pPr>
      <w:r>
        <w:rPr>
          <w:rFonts w:cs="Arial"/>
          <w:color w:val="405CA1"/>
          <w:sz w:val="56"/>
          <w:szCs w:val="56"/>
        </w:rPr>
        <w:t xml:space="preserve">DISPENSA </w:t>
      </w:r>
    </w:p>
    <w:p>
      <w:pPr>
        <w:pStyle w:val="Normal"/>
        <w:rPr/>
      </w:pPr>
      <w:r>
        <w:rPr>
          <w:rFonts w:cs="Arial"/>
          <w:color w:val="405CA1"/>
          <w:sz w:val="56"/>
          <w:szCs w:val="56"/>
        </w:rPr>
        <w:t>ELETRÔNICA</w:t>
      </w:r>
    </w:p>
    <w:p>
      <w:pPr>
        <w:pStyle w:val="Normal"/>
        <w:rPr/>
      </w:pPr>
      <w:r>
        <w:rPr>
          <w:rFonts w:cs="Arial"/>
          <w:b/>
          <w:bCs/>
          <w:i w:val="false"/>
          <w:iCs w:val="false"/>
          <w:color w:val="5B5B5F"/>
          <w:sz w:val="32"/>
          <w:szCs w:val="32"/>
        </w:rPr>
        <w:t>01/2023</w:t>
      </w:r>
    </w:p>
    <w:p>
      <w:pPr>
        <w:pStyle w:val="Normal"/>
        <w:spacing w:lineRule="auto" w:line="259"/>
        <w:rPr>
          <w:rFonts w:cs="Arial"/>
          <w:b/>
          <w:b/>
          <w:bCs/>
          <w:color w:val="405CA1"/>
          <w:sz w:val="28"/>
          <w:szCs w:val="28"/>
        </w:rPr>
      </w:pPr>
      <w:r>
        <w:rPr>
          <w:rFonts w:cs="Arial"/>
          <w:b/>
          <w:bCs/>
          <w:color w:val="405CA1"/>
          <w:sz w:val="28"/>
          <w:szCs w:val="28"/>
        </w:rPr>
      </w:r>
    </w:p>
    <w:p>
      <w:pPr>
        <w:pStyle w:val="Normal"/>
        <w:spacing w:lineRule="auto" w:line="259"/>
        <w:rPr>
          <w:rFonts w:cs="Arial"/>
          <w:b/>
          <w:b/>
          <w:bCs/>
          <w:color w:val="405CA1"/>
          <w:sz w:val="28"/>
          <w:szCs w:val="28"/>
        </w:rPr>
      </w:pPr>
      <w:r>
        <w:rPr>
          <w:rFonts w:cs="Arial"/>
          <w:b/>
          <w:bCs/>
          <w:color w:val="405CA1"/>
          <w:sz w:val="28"/>
          <w:szCs w:val="28"/>
        </w:rPr>
      </w:r>
    </w:p>
    <w:p>
      <w:pPr>
        <w:pStyle w:val="Normal"/>
        <w:spacing w:lineRule="auto" w:line="259"/>
        <w:rPr>
          <w:rFonts w:cs="Arial"/>
          <w:b/>
          <w:b/>
          <w:bCs/>
          <w:color w:val="405CA1"/>
          <w:sz w:val="28"/>
          <w:szCs w:val="28"/>
        </w:rPr>
      </w:pPr>
      <w:r>
        <w:rPr>
          <w:rFonts w:cs="Arial"/>
          <w:b/>
          <w:bCs/>
          <w:color w:val="405CA1"/>
          <w:sz w:val="28"/>
          <w:szCs w:val="28"/>
        </w:rPr>
      </w:r>
    </w:p>
    <w:p>
      <w:pPr>
        <w:pStyle w:val="Normal"/>
        <w:spacing w:lineRule="auto" w:line="259"/>
        <w:rPr>
          <w:rFonts w:cs="Arial"/>
          <w:b/>
          <w:b/>
          <w:bCs/>
          <w:color w:val="405CA1"/>
          <w:sz w:val="32"/>
          <w:szCs w:val="32"/>
        </w:rPr>
      </w:pPr>
      <w:r>
        <w:rPr>
          <w:rFonts w:cs="Arial"/>
          <w:b/>
          <w:bCs/>
          <w:color w:val="405CA1"/>
          <w:sz w:val="32"/>
          <w:szCs w:val="32"/>
        </w:rPr>
        <w:t>CONTRATANTE (UASG)</w:t>
      </w:r>
    </w:p>
    <w:p>
      <w:pPr>
        <w:pStyle w:val="Normal"/>
        <w:rPr/>
      </w:pPr>
      <w:r>
        <w:rPr>
          <w:rFonts w:cs="Arial"/>
          <w:b/>
          <w:bCs/>
          <w:color w:val="5B5B5F"/>
          <w:sz w:val="28"/>
          <w:szCs w:val="28"/>
        </w:rPr>
        <w:t>6º DEPÓSITO DE SUPRIMENTO (160038)</w:t>
      </w:r>
    </w:p>
    <w:p>
      <w:pPr>
        <w:pStyle w:val="Normal"/>
        <w:rPr>
          <w:rFonts w:cs="Arial"/>
          <w:color w:val="5B5B5F"/>
          <w:sz w:val="32"/>
          <w:szCs w:val="32"/>
        </w:rPr>
      </w:pPr>
      <w:r>
        <w:rPr>
          <w:rFonts w:cs="Arial"/>
          <w:color w:val="5B5B5F"/>
          <w:sz w:val="32"/>
          <w:szCs w:val="32"/>
        </w:rPr>
      </w:r>
    </w:p>
    <w:p>
      <w:pPr>
        <w:pStyle w:val="Normal"/>
        <w:rPr>
          <w:rFonts w:cs="Arial"/>
          <w:b/>
          <w:b/>
          <w:bCs/>
          <w:color w:val="5B5B5F"/>
          <w:szCs w:val="20"/>
        </w:rPr>
      </w:pPr>
      <w:r>
        <w:rPr>
          <w:rFonts w:cs="Arial"/>
          <w:b/>
          <w:bCs/>
          <w:color w:val="405CA1"/>
          <w:sz w:val="32"/>
          <w:szCs w:val="32"/>
        </w:rPr>
        <w:t>OBJETO</w:t>
      </w:r>
    </w:p>
    <w:p>
      <w:pPr>
        <w:pStyle w:val="Normal"/>
        <w:jc w:val="both"/>
        <w:rPr>
          <w:rFonts w:ascii="Arial" w:hAnsi="Arial"/>
          <w:sz w:val="26"/>
          <w:szCs w:val="26"/>
        </w:rPr>
      </w:pPr>
      <w:r>
        <w:rPr>
          <w:rFonts w:cs="Arial" w:ascii="Arial" w:hAnsi="Arial"/>
          <w:b/>
          <w:bCs/>
          <w:color w:val="5B5B5F"/>
          <w:sz w:val="28"/>
          <w:szCs w:val="28"/>
        </w:rPr>
        <w:t>Contratação de serviços de locação com montagem e desmontagem de estrutura metálica para proteção do perímetro externo do Forte de São Pedro por ocasião do período de carnaval do ano de 2023.</w:t>
      </w:r>
      <w:r>
        <w:rPr>
          <w:rFonts w:cs="Arial" w:ascii="Arial" w:hAnsi="Arial"/>
          <w:b/>
          <w:bCs/>
          <w:color w:val="5B5B5F"/>
          <w:sz w:val="26"/>
          <w:szCs w:val="26"/>
        </w:rPr>
        <w:t xml:space="preserve"> </w:t>
      </w:r>
    </w:p>
    <w:p>
      <w:pPr>
        <w:pStyle w:val="Normal"/>
        <w:rPr>
          <w:rFonts w:cs="Arial"/>
          <w:color w:val="5B5B5F"/>
          <w:sz w:val="32"/>
          <w:szCs w:val="32"/>
        </w:rPr>
      </w:pPr>
      <w:r>
        <w:rPr>
          <w:rFonts w:cs="Arial"/>
          <w:color w:val="5B5B5F"/>
          <w:sz w:val="32"/>
          <w:szCs w:val="32"/>
        </w:rPr>
      </w:r>
    </w:p>
    <w:p>
      <w:pPr>
        <w:pStyle w:val="Normal"/>
        <w:rPr>
          <w:rFonts w:cs="Arial"/>
          <w:b/>
          <w:b/>
          <w:bCs/>
          <w:color w:val="405CA1"/>
          <w:sz w:val="32"/>
          <w:szCs w:val="32"/>
        </w:rPr>
      </w:pPr>
      <w:bookmarkStart w:id="0" w:name="_GoBack"/>
      <w:bookmarkEnd w:id="0"/>
      <w:r>
        <w:rPr>
          <w:rFonts w:cs="Arial"/>
          <w:b/>
          <w:bCs/>
          <w:color w:val="405CA1"/>
          <w:sz w:val="32"/>
          <w:szCs w:val="32"/>
        </w:rPr>
        <w:t>VALOR TOTAL DA CONTRATAÇÃO</w:t>
      </w:r>
    </w:p>
    <w:p>
      <w:pPr>
        <w:pStyle w:val="Normal"/>
        <w:rPr/>
      </w:pPr>
      <w:r>
        <w:rPr>
          <w:rFonts w:cs="Arial"/>
          <w:b w:val="false"/>
          <w:bCs w:val="false"/>
          <w:color w:val="000000"/>
          <w:sz w:val="28"/>
          <w:szCs w:val="28"/>
        </w:rPr>
        <w:t>R$ 9.666,67</w:t>
      </w:r>
    </w:p>
    <w:p>
      <w:pPr>
        <w:pStyle w:val="Normal"/>
        <w:rPr>
          <w:rFonts w:cs="Arial"/>
          <w:color w:val="5B5B5F"/>
          <w:sz w:val="32"/>
          <w:szCs w:val="32"/>
        </w:rPr>
      </w:pPr>
      <w:r>
        <w:rPr>
          <w:rFonts w:cs="Arial"/>
          <w:color w:val="5B5B5F"/>
          <w:sz w:val="32"/>
          <w:szCs w:val="32"/>
        </w:rPr>
      </w:r>
    </w:p>
    <w:p>
      <w:pPr>
        <w:pStyle w:val="Normal"/>
        <w:rPr>
          <w:rFonts w:cs="Arial"/>
          <w:b/>
          <w:b/>
          <w:bCs/>
          <w:color w:val="405CA1"/>
          <w:sz w:val="32"/>
          <w:szCs w:val="32"/>
        </w:rPr>
      </w:pPr>
      <w:r>
        <w:rPr>
          <w:rFonts w:cs="Arial"/>
          <w:b/>
          <w:bCs/>
          <w:color w:val="405CA1"/>
          <w:sz w:val="32"/>
          <w:szCs w:val="32"/>
        </w:rPr>
        <w:t xml:space="preserve">PERÍODO DE PROPOSTAS </w:t>
      </w:r>
    </w:p>
    <w:p>
      <w:pPr>
        <w:pStyle w:val="Normal"/>
        <w:rPr/>
      </w:pPr>
      <w:bookmarkStart w:id="1" w:name="__DdeLink__661_1307809589"/>
      <w:r>
        <w:rPr>
          <w:rFonts w:cs="Arial"/>
          <w:b/>
          <w:bCs/>
          <w:color w:val="5B5B5F"/>
          <w:sz w:val="28"/>
          <w:szCs w:val="28"/>
        </w:rPr>
        <w:t xml:space="preserve">De 16/01/2023 às 8h </w:t>
      </w:r>
    </w:p>
    <w:p>
      <w:pPr>
        <w:pStyle w:val="Normal"/>
        <w:rPr/>
      </w:pPr>
      <w:r>
        <w:rPr>
          <w:rFonts w:cs="Arial"/>
          <w:b/>
          <w:bCs/>
          <w:color w:val="5B5B5F"/>
          <w:sz w:val="28"/>
          <w:szCs w:val="28"/>
        </w:rPr>
        <w:t>Até 1</w:t>
      </w:r>
      <w:r>
        <w:rPr>
          <w:rFonts w:cs="Arial"/>
          <w:b/>
          <w:bCs/>
          <w:color w:val="5B5B5F"/>
          <w:sz w:val="28"/>
          <w:szCs w:val="28"/>
        </w:rPr>
        <w:t>8</w:t>
      </w:r>
      <w:r>
        <w:rPr>
          <w:rFonts w:cs="Arial"/>
          <w:b/>
          <w:bCs/>
          <w:color w:val="5B5B5F"/>
          <w:sz w:val="28"/>
          <w:szCs w:val="28"/>
        </w:rPr>
        <w:t>/01/2023 às 1</w:t>
      </w:r>
      <w:r>
        <w:rPr>
          <w:rFonts w:cs="Arial"/>
          <w:b/>
          <w:bCs/>
          <w:color w:val="5B5B5F"/>
          <w:sz w:val="28"/>
          <w:szCs w:val="28"/>
        </w:rPr>
        <w:t>4</w:t>
      </w:r>
      <w:bookmarkEnd w:id="1"/>
      <w:r>
        <w:rPr>
          <w:rFonts w:cs="Arial"/>
          <w:b/>
          <w:bCs/>
          <w:color w:val="5B5B5F"/>
          <w:sz w:val="28"/>
          <w:szCs w:val="28"/>
        </w:rPr>
        <w:t>h</w:t>
      </w:r>
    </w:p>
    <w:p>
      <w:pPr>
        <w:pStyle w:val="Normal"/>
        <w:rPr>
          <w:rFonts w:cs="Arial"/>
          <w:color w:val="5B5B5F"/>
          <w:sz w:val="32"/>
          <w:szCs w:val="32"/>
        </w:rPr>
      </w:pPr>
      <w:r>
        <w:rPr>
          <w:rFonts w:cs="Arial"/>
          <w:color w:val="5B5B5F"/>
          <w:sz w:val="32"/>
          <w:szCs w:val="32"/>
        </w:rPr>
      </w:r>
    </w:p>
    <w:p>
      <w:pPr>
        <w:pStyle w:val="Normal"/>
        <w:rPr>
          <w:rFonts w:cs="Arial"/>
          <w:b/>
          <w:b/>
          <w:bCs/>
          <w:color w:val="405CA1"/>
          <w:sz w:val="32"/>
          <w:szCs w:val="32"/>
        </w:rPr>
      </w:pPr>
      <w:r>
        <w:rPr>
          <w:rFonts w:cs="Arial"/>
          <w:b/>
          <w:bCs/>
          <w:color w:val="405CA1"/>
          <w:sz w:val="32"/>
          <w:szCs w:val="32"/>
        </w:rPr>
        <w:t>PERÍODO DE LANCES</w:t>
      </w:r>
    </w:p>
    <w:p>
      <w:pPr>
        <w:pStyle w:val="Normal"/>
        <w:rPr/>
      </w:pPr>
      <w:r>
        <w:rPr>
          <w:rFonts w:cs="Arial"/>
          <w:b/>
          <w:bCs/>
          <w:color w:val="5B5B5F"/>
          <w:sz w:val="28"/>
          <w:szCs w:val="28"/>
        </w:rPr>
        <w:t xml:space="preserve">De 16/01/2023 às 8h </w:t>
      </w:r>
    </w:p>
    <w:p>
      <w:pPr>
        <w:pStyle w:val="Normal"/>
        <w:rPr/>
      </w:pPr>
      <w:r>
        <w:rPr>
          <w:rFonts w:cs="Arial"/>
          <w:b/>
          <w:bCs/>
          <w:color w:val="5B5B5F"/>
          <w:sz w:val="28"/>
          <w:szCs w:val="28"/>
        </w:rPr>
        <w:t>Até 1</w:t>
      </w:r>
      <w:r>
        <w:rPr>
          <w:rFonts w:cs="Arial"/>
          <w:b/>
          <w:bCs/>
          <w:color w:val="5B5B5F"/>
          <w:sz w:val="28"/>
          <w:szCs w:val="28"/>
        </w:rPr>
        <w:t>8</w:t>
      </w:r>
      <w:r>
        <w:rPr>
          <w:rFonts w:cs="Arial"/>
          <w:b/>
          <w:bCs/>
          <w:color w:val="5B5B5F"/>
          <w:sz w:val="28"/>
          <w:szCs w:val="28"/>
        </w:rPr>
        <w:t>/01/2023 às 1</w:t>
      </w:r>
      <w:r>
        <w:rPr>
          <w:rFonts w:cs="Arial"/>
          <w:b/>
          <w:bCs/>
          <w:color w:val="5B5B5F"/>
          <w:sz w:val="28"/>
          <w:szCs w:val="28"/>
        </w:rPr>
        <w:t>4</w:t>
      </w:r>
      <w:r>
        <w:rPr>
          <w:rFonts w:cs="Arial"/>
          <w:b/>
          <w:bCs/>
          <w:color w:val="5B5B5F"/>
          <w:sz w:val="28"/>
          <w:szCs w:val="28"/>
        </w:rPr>
        <w:t>h</w:t>
      </w:r>
    </w:p>
    <w:p>
      <w:pPr>
        <w:pStyle w:val="Normal"/>
        <w:rPr>
          <w:rFonts w:cs="Arial"/>
          <w:b/>
          <w:b/>
          <w:bCs/>
          <w:color w:val="405CA1"/>
          <w:sz w:val="32"/>
          <w:szCs w:val="32"/>
        </w:rPr>
      </w:pPr>
      <w:r>
        <w:rPr>
          <w:rFonts w:cs="Arial"/>
          <w:b/>
          <w:bCs/>
          <w:color w:val="405CA1"/>
          <w:sz w:val="32"/>
          <w:szCs w:val="32"/>
        </w:rPr>
      </w:r>
    </w:p>
    <w:p>
      <w:pPr>
        <w:pStyle w:val="Normal"/>
        <w:rPr>
          <w:rFonts w:cs="Arial"/>
          <w:b/>
          <w:b/>
          <w:bCs/>
          <w:color w:val="405CA1"/>
          <w:sz w:val="32"/>
          <w:szCs w:val="32"/>
        </w:rPr>
      </w:pPr>
      <w:r>
        <w:rPr>
          <w:rFonts w:cs="Arial"/>
          <w:b/>
          <w:bCs/>
          <w:color w:val="405CA1"/>
          <w:sz w:val="32"/>
          <w:szCs w:val="32"/>
        </w:rPr>
        <w:t>PREFERÊNCIA ME/EPP/EQUIPARADAS</w:t>
      </w:r>
    </w:p>
    <w:p>
      <w:pPr>
        <w:pStyle w:val="Normal"/>
        <w:rPr>
          <w:rFonts w:cs="Arial"/>
          <w:b/>
          <w:b/>
          <w:bCs/>
          <w:color w:val="5B5B5F"/>
          <w:sz w:val="28"/>
          <w:szCs w:val="28"/>
        </w:rPr>
      </w:pPr>
      <w:r>
        <w:rPr>
          <w:rFonts w:cs="Arial"/>
          <w:b/>
          <w:bCs/>
          <w:color w:val="5B5B5F"/>
          <w:sz w:val="28"/>
          <w:szCs w:val="28"/>
        </w:rPr>
        <w:t>SIM</w:t>
      </w:r>
    </w:p>
    <w:p>
      <w:pPr>
        <w:pStyle w:val="Normal"/>
        <w:spacing w:lineRule="auto" w:line="259" w:before="0" w:after="160"/>
        <w:rPr>
          <w:rFonts w:ascii="Rawline" w:hAnsi="Rawline" w:cs="Arial"/>
          <w:color w:val="FF0000"/>
          <w:sz w:val="22"/>
          <w:szCs w:val="22"/>
        </w:rPr>
      </w:pPr>
      <w:r>
        <w:rPr>
          <w:rFonts w:cs="Arial" w:ascii="Rawline" w:hAnsi="Rawline"/>
          <w:color w:val="FF0000"/>
          <w:sz w:val="22"/>
          <w:szCs w:val="22"/>
        </w:rPr>
      </w:r>
    </w:p>
    <w:p>
      <w:pPr>
        <w:pStyle w:val="Normal"/>
        <w:spacing w:lineRule="auto" w:line="276"/>
        <w:jc w:val="center"/>
        <w:rPr>
          <w:rFonts w:ascii="Rawline" w:hAnsi="Rawline" w:cs="Arial"/>
          <w:color w:val="FF0000"/>
          <w:sz w:val="22"/>
          <w:szCs w:val="22"/>
        </w:rPr>
      </w:pPr>
      <w:r>
        <w:rPr>
          <w:rFonts w:cs="Arial" w:ascii="Rawline" w:hAnsi="Rawline"/>
          <w:color w:val="FF0000"/>
          <w:sz w:val="22"/>
          <w:szCs w:val="22"/>
        </w:rPr>
      </w:r>
    </w:p>
    <w:p>
      <w:pPr>
        <w:pStyle w:val="Normal"/>
        <w:spacing w:lineRule="auto" w:line="259" w:before="0" w:after="160"/>
        <w:rPr>
          <w:rFonts w:ascii="Rawline" w:hAnsi="Rawline" w:cs="Arial"/>
          <w:color w:val="FF0000"/>
          <w:sz w:val="22"/>
          <w:szCs w:val="22"/>
        </w:rPr>
      </w:pPr>
      <w:r>
        <w:rPr>
          <w:rFonts w:cs="Arial" w:ascii="Rawline" w:hAnsi="Rawline"/>
          <w:color w:val="FF0000"/>
          <w:sz w:val="22"/>
          <w:szCs w:val="22"/>
        </w:rPr>
      </w:r>
      <w:r>
        <w:br w:type="page"/>
      </w:r>
    </w:p>
    <w:sdt>
      <w:sdtPr>
        <w:docPartObj>
          <w:docPartGallery w:val="Table of Contents"/>
          <w:docPartUnique w:val="true"/>
        </w:docPartObj>
        <w:id w:val="476831264"/>
      </w:sdtPr>
      <w:sdtContent>
        <w:p>
          <w:pPr>
            <w:pStyle w:val="TOCHeading"/>
            <w:rPr>
              <w:rFonts w:ascii="Arial" w:hAnsi="Arial" w:cs="Arial"/>
              <w:sz w:val="22"/>
              <w:szCs w:val="22"/>
            </w:rPr>
          </w:pPr>
          <w:r>
            <w:rPr>
              <w:rFonts w:cs="Arial" w:ascii="Arial" w:hAnsi="Arial"/>
              <w:sz w:val="22"/>
              <w:szCs w:val="22"/>
            </w:rPr>
            <w:t>Sumário</w:t>
          </w:r>
        </w:p>
        <w:p>
          <w:pPr>
            <w:pStyle w:val="Normal"/>
            <w:rPr/>
          </w:pPr>
          <w:r>
            <w:rPr/>
          </w:r>
        </w:p>
        <w:p>
          <w:pPr>
            <w:pStyle w:val="Sumrio1"/>
            <w:tabs>
              <w:tab w:val="left" w:pos="440" w:leader="none"/>
              <w:tab w:val="right" w:pos="9736" w:leader="dot"/>
            </w:tabs>
            <w:rPr>
              <w:rFonts w:eastAsia="" w:cs="Arial" w:eastAsiaTheme="minorEastAsia"/>
              <w:sz w:val="22"/>
              <w:szCs w:val="22"/>
            </w:rPr>
          </w:pPr>
          <w:r>
            <w:fldChar w:fldCharType="begin"/>
          </w:r>
          <w:r>
            <w:instrText> TOC \z \o "1-3" \u \h</w:instrText>
          </w:r>
          <w:r>
            <w:fldChar w:fldCharType="separate"/>
          </w:r>
          <w:hyperlink w:anchor="_Toc104906818">
            <w:r>
              <w:rPr>
                <w:webHidden/>
                <w:rStyle w:val="Vnculodendice"/>
                <w:rFonts w:eastAsia="Calibri" w:cs="Arial"/>
                <w:b/>
                <w:vanish w:val="false"/>
                <w:sz w:val="22"/>
                <w:szCs w:val="22"/>
              </w:rPr>
              <w:t>1.</w:t>
            </w:r>
            <w:r>
              <w:rPr>
                <w:rStyle w:val="Vnculodendice"/>
                <w:rFonts w:eastAsia="" w:cs="Arial" w:eastAsiaTheme="minorEastAsia"/>
                <w:sz w:val="22"/>
                <w:szCs w:val="22"/>
              </w:rPr>
              <w:tab/>
            </w:r>
            <w:r>
              <w:rPr>
                <w:rStyle w:val="Vnculodendice"/>
                <w:rFonts w:eastAsia="Calibri" w:cs="Arial"/>
                <w:sz w:val="22"/>
                <w:szCs w:val="22"/>
              </w:rPr>
              <w:t>OBJETO DA CONTRATAÇÃO DIRETA</w:t>
            </w:r>
            <w:r>
              <w:rPr>
                <w:webHidden/>
              </w:rPr>
              <w:fldChar w:fldCharType="begin"/>
            </w:r>
            <w:r>
              <w:rPr>
                <w:webHidden/>
              </w:rPr>
              <w:instrText>PAGEREF _Toc104906818 \h</w:instrText>
            </w:r>
            <w:r>
              <w:rPr>
                <w:webHidden/>
              </w:rPr>
              <w:fldChar w:fldCharType="separate"/>
            </w:r>
            <w:r>
              <w:rPr>
                <w:rStyle w:val="Vnculodendice"/>
                <w:rFonts w:cs="Arial"/>
                <w:vanish w:val="false"/>
                <w:sz w:val="22"/>
                <w:szCs w:val="22"/>
              </w:rPr>
              <w:tab/>
              <w:t>3</w:t>
            </w:r>
            <w:r>
              <w:rPr>
                <w:webHidden/>
              </w:rPr>
              <w:fldChar w:fldCharType="end"/>
            </w:r>
          </w:hyperlink>
        </w:p>
        <w:p>
          <w:pPr>
            <w:pStyle w:val="Sumrio1"/>
            <w:tabs>
              <w:tab w:val="left" w:pos="440" w:leader="none"/>
              <w:tab w:val="right" w:pos="9736" w:leader="dot"/>
            </w:tabs>
            <w:rPr>
              <w:rFonts w:eastAsia="" w:cs="Arial" w:eastAsiaTheme="minorEastAsia"/>
              <w:sz w:val="22"/>
              <w:szCs w:val="22"/>
            </w:rPr>
          </w:pPr>
          <w:hyperlink w:anchor="_Toc104906819">
            <w:r>
              <w:rPr>
                <w:webHidden/>
                <w:rStyle w:val="Vnculodendice"/>
                <w:rFonts w:eastAsia="Calibri" w:cs="Arial"/>
                <w:b/>
                <w:vanish w:val="false"/>
                <w:sz w:val="22"/>
                <w:szCs w:val="22"/>
              </w:rPr>
              <w:t>2.</w:t>
            </w:r>
            <w:r>
              <w:rPr>
                <w:rStyle w:val="Vnculodendice"/>
                <w:rFonts w:eastAsia="" w:cs="Arial" w:eastAsiaTheme="minorEastAsia"/>
                <w:sz w:val="22"/>
                <w:szCs w:val="22"/>
              </w:rPr>
              <w:tab/>
            </w:r>
            <w:r>
              <w:rPr>
                <w:rStyle w:val="Vnculodendice"/>
                <w:rFonts w:eastAsia="Calibri" w:cs="Arial"/>
                <w:sz w:val="22"/>
                <w:szCs w:val="22"/>
              </w:rPr>
              <w:t>PARTICIPAÇÃO NA DISPENSA ELETRÔNICA.</w:t>
            </w:r>
            <w:r>
              <w:rPr>
                <w:webHidden/>
              </w:rPr>
              <w:fldChar w:fldCharType="begin"/>
            </w:r>
            <w:r>
              <w:rPr>
                <w:webHidden/>
              </w:rPr>
              <w:instrText>PAGEREF _Toc104906819 \h</w:instrText>
            </w:r>
            <w:r>
              <w:rPr>
                <w:webHidden/>
              </w:rPr>
              <w:fldChar w:fldCharType="separate"/>
            </w:r>
            <w:r>
              <w:rPr>
                <w:rStyle w:val="Vnculodendice"/>
                <w:rFonts w:cs="Arial"/>
                <w:vanish w:val="false"/>
                <w:sz w:val="22"/>
                <w:szCs w:val="22"/>
              </w:rPr>
              <w:tab/>
              <w:t>4</w:t>
            </w:r>
            <w:r>
              <w:rPr>
                <w:webHidden/>
              </w:rPr>
              <w:fldChar w:fldCharType="end"/>
            </w:r>
          </w:hyperlink>
        </w:p>
        <w:p>
          <w:pPr>
            <w:pStyle w:val="Sumrio1"/>
            <w:tabs>
              <w:tab w:val="left" w:pos="440" w:leader="none"/>
              <w:tab w:val="right" w:pos="9736" w:leader="dot"/>
            </w:tabs>
            <w:rPr>
              <w:rFonts w:eastAsia="" w:cs="Arial" w:eastAsiaTheme="minorEastAsia"/>
              <w:sz w:val="22"/>
              <w:szCs w:val="22"/>
            </w:rPr>
          </w:pPr>
          <w:hyperlink w:anchor="_Toc104906820">
            <w:r>
              <w:rPr>
                <w:webHidden/>
                <w:rStyle w:val="Vnculodendice"/>
                <w:rFonts w:eastAsia="Calibri" w:cs="Arial"/>
                <w:b/>
                <w:vanish w:val="false"/>
                <w:sz w:val="22"/>
                <w:szCs w:val="22"/>
              </w:rPr>
              <w:t>3.</w:t>
            </w:r>
            <w:r>
              <w:rPr>
                <w:rStyle w:val="Vnculodendice"/>
                <w:rFonts w:eastAsia="" w:cs="Arial" w:eastAsiaTheme="minorEastAsia"/>
                <w:sz w:val="22"/>
                <w:szCs w:val="22"/>
              </w:rPr>
              <w:tab/>
            </w:r>
            <w:r>
              <w:rPr>
                <w:rStyle w:val="Vnculodendice"/>
                <w:rFonts w:eastAsia="Calibri" w:cs="Arial"/>
                <w:sz w:val="22"/>
                <w:szCs w:val="22"/>
              </w:rPr>
              <w:t>INGRESSO NA DISPENSA ELETRÔNICA E CADASTRAMENTO DA PROPOSTA INICIAL</w:t>
            </w:r>
            <w:r>
              <w:rPr>
                <w:webHidden/>
              </w:rPr>
              <w:fldChar w:fldCharType="begin"/>
            </w:r>
            <w:r>
              <w:rPr>
                <w:webHidden/>
              </w:rPr>
              <w:instrText>PAGEREF _Toc104906820 \h</w:instrText>
            </w:r>
            <w:r>
              <w:rPr>
                <w:webHidden/>
              </w:rPr>
              <w:fldChar w:fldCharType="separate"/>
            </w:r>
            <w:r>
              <w:rPr>
                <w:rStyle w:val="Vnculodendice"/>
                <w:rFonts w:cs="Arial"/>
                <w:vanish w:val="false"/>
                <w:sz w:val="22"/>
                <w:szCs w:val="22"/>
              </w:rPr>
              <w:tab/>
              <w:t>5</w:t>
            </w:r>
            <w:r>
              <w:rPr>
                <w:webHidden/>
              </w:rPr>
              <w:fldChar w:fldCharType="end"/>
            </w:r>
          </w:hyperlink>
        </w:p>
        <w:p>
          <w:pPr>
            <w:pStyle w:val="Sumrio1"/>
            <w:tabs>
              <w:tab w:val="left" w:pos="440" w:leader="none"/>
              <w:tab w:val="right" w:pos="9736" w:leader="dot"/>
            </w:tabs>
            <w:rPr>
              <w:rFonts w:eastAsia="" w:cs="Arial" w:eastAsiaTheme="minorEastAsia"/>
              <w:sz w:val="22"/>
              <w:szCs w:val="22"/>
            </w:rPr>
          </w:pPr>
          <w:hyperlink w:anchor="_Toc104906821">
            <w:r>
              <w:rPr>
                <w:webHidden/>
                <w:rStyle w:val="Vnculodendice"/>
                <w:rFonts w:eastAsia="Calibri" w:cs="Arial"/>
                <w:b/>
                <w:vanish w:val="false"/>
                <w:sz w:val="22"/>
                <w:szCs w:val="22"/>
              </w:rPr>
              <w:t>4.</w:t>
            </w:r>
            <w:r>
              <w:rPr>
                <w:rStyle w:val="Vnculodendice"/>
                <w:rFonts w:eastAsia="" w:cs="Arial" w:eastAsiaTheme="minorEastAsia"/>
                <w:sz w:val="22"/>
                <w:szCs w:val="22"/>
              </w:rPr>
              <w:tab/>
            </w:r>
            <w:r>
              <w:rPr>
                <w:rStyle w:val="Vnculodendice"/>
                <w:rFonts w:eastAsia="Calibri" w:cs="Arial"/>
                <w:sz w:val="22"/>
                <w:szCs w:val="22"/>
              </w:rPr>
              <w:t>FASE DE LANCES</w:t>
            </w:r>
            <w:r>
              <w:rPr>
                <w:webHidden/>
              </w:rPr>
              <w:fldChar w:fldCharType="begin"/>
            </w:r>
            <w:r>
              <w:rPr>
                <w:webHidden/>
              </w:rPr>
              <w:instrText>PAGEREF _Toc104906821 \h</w:instrText>
            </w:r>
            <w:r>
              <w:rPr>
                <w:webHidden/>
              </w:rPr>
              <w:fldChar w:fldCharType="separate"/>
            </w:r>
            <w:r>
              <w:rPr>
                <w:rStyle w:val="Vnculodendice"/>
                <w:rFonts w:cs="Arial"/>
                <w:vanish w:val="false"/>
                <w:sz w:val="22"/>
                <w:szCs w:val="22"/>
              </w:rPr>
              <w:tab/>
              <w:t>7</w:t>
            </w:r>
            <w:r>
              <w:rPr>
                <w:webHidden/>
              </w:rPr>
              <w:fldChar w:fldCharType="end"/>
            </w:r>
          </w:hyperlink>
        </w:p>
        <w:p>
          <w:pPr>
            <w:pStyle w:val="Sumrio1"/>
            <w:tabs>
              <w:tab w:val="left" w:pos="440" w:leader="none"/>
              <w:tab w:val="right" w:pos="9736" w:leader="dot"/>
            </w:tabs>
            <w:rPr>
              <w:rFonts w:eastAsia="" w:cs="Arial" w:eastAsiaTheme="minorEastAsia"/>
              <w:sz w:val="22"/>
              <w:szCs w:val="22"/>
            </w:rPr>
          </w:pPr>
          <w:hyperlink w:anchor="_Toc104906822">
            <w:r>
              <w:rPr>
                <w:webHidden/>
                <w:rStyle w:val="Vnculodendice"/>
                <w:rFonts w:eastAsia="Calibri" w:cs="Arial"/>
                <w:b/>
                <w:vanish w:val="false"/>
                <w:sz w:val="22"/>
                <w:szCs w:val="22"/>
              </w:rPr>
              <w:t>5.</w:t>
            </w:r>
            <w:r>
              <w:rPr>
                <w:rStyle w:val="Vnculodendice"/>
                <w:rFonts w:eastAsia="" w:cs="Arial" w:eastAsiaTheme="minorEastAsia"/>
                <w:sz w:val="22"/>
                <w:szCs w:val="22"/>
              </w:rPr>
              <w:tab/>
            </w:r>
            <w:r>
              <w:rPr>
                <w:rStyle w:val="Vnculodendice"/>
                <w:rFonts w:eastAsia="Calibri" w:cs="Arial"/>
                <w:sz w:val="22"/>
                <w:szCs w:val="22"/>
              </w:rPr>
              <w:t>JULGAMENTO DAS PROPOSTAS DE PREÇO</w:t>
            </w:r>
            <w:r>
              <w:rPr>
                <w:webHidden/>
              </w:rPr>
              <w:fldChar w:fldCharType="begin"/>
            </w:r>
            <w:r>
              <w:rPr>
                <w:webHidden/>
              </w:rPr>
              <w:instrText>PAGEREF _Toc104906822 \h</w:instrText>
            </w:r>
            <w:r>
              <w:rPr>
                <w:webHidden/>
              </w:rPr>
              <w:fldChar w:fldCharType="separate"/>
            </w:r>
            <w:r>
              <w:rPr>
                <w:rStyle w:val="Vnculodendice"/>
                <w:rFonts w:cs="Arial"/>
                <w:vanish w:val="false"/>
                <w:sz w:val="22"/>
                <w:szCs w:val="22"/>
              </w:rPr>
              <w:tab/>
              <w:t>8</w:t>
            </w:r>
            <w:r>
              <w:rPr>
                <w:webHidden/>
              </w:rPr>
              <w:fldChar w:fldCharType="end"/>
            </w:r>
          </w:hyperlink>
        </w:p>
        <w:p>
          <w:pPr>
            <w:pStyle w:val="Sumrio1"/>
            <w:tabs>
              <w:tab w:val="left" w:pos="440" w:leader="none"/>
              <w:tab w:val="right" w:pos="9736" w:leader="dot"/>
            </w:tabs>
            <w:rPr>
              <w:rFonts w:eastAsia="" w:cs="Arial" w:eastAsiaTheme="minorEastAsia"/>
              <w:sz w:val="22"/>
              <w:szCs w:val="22"/>
            </w:rPr>
          </w:pPr>
          <w:hyperlink w:anchor="_Toc104906823">
            <w:r>
              <w:rPr>
                <w:webHidden/>
                <w:rStyle w:val="Vnculodendice"/>
                <w:rFonts w:eastAsia="Calibri" w:cs="Arial"/>
                <w:b/>
                <w:vanish w:val="false"/>
                <w:sz w:val="22"/>
                <w:szCs w:val="22"/>
              </w:rPr>
              <w:t>6.</w:t>
            </w:r>
            <w:r>
              <w:rPr>
                <w:rStyle w:val="Vnculodendice"/>
                <w:rFonts w:eastAsia="" w:cs="Arial" w:eastAsiaTheme="minorEastAsia"/>
                <w:sz w:val="22"/>
                <w:szCs w:val="22"/>
              </w:rPr>
              <w:tab/>
            </w:r>
            <w:r>
              <w:rPr>
                <w:rStyle w:val="Vnculodendice"/>
                <w:rFonts w:eastAsia="Calibri" w:cs="Arial"/>
                <w:sz w:val="22"/>
                <w:szCs w:val="22"/>
              </w:rPr>
              <w:t>HABILITAÇÃO</w:t>
            </w:r>
            <w:r>
              <w:rPr>
                <w:webHidden/>
              </w:rPr>
              <w:fldChar w:fldCharType="begin"/>
            </w:r>
            <w:r>
              <w:rPr>
                <w:webHidden/>
              </w:rPr>
              <w:instrText>PAGEREF _Toc104906823 \h</w:instrText>
            </w:r>
            <w:r>
              <w:rPr>
                <w:webHidden/>
              </w:rPr>
              <w:fldChar w:fldCharType="separate"/>
            </w:r>
            <w:r>
              <w:rPr>
                <w:rStyle w:val="Vnculodendice"/>
                <w:rFonts w:cs="Arial"/>
                <w:vanish w:val="false"/>
                <w:sz w:val="22"/>
                <w:szCs w:val="22"/>
              </w:rPr>
              <w:tab/>
              <w:t>10</w:t>
            </w:r>
            <w:r>
              <w:rPr>
                <w:webHidden/>
              </w:rPr>
              <w:fldChar w:fldCharType="end"/>
            </w:r>
          </w:hyperlink>
        </w:p>
        <w:p>
          <w:pPr>
            <w:pStyle w:val="Sumrio1"/>
            <w:tabs>
              <w:tab w:val="left" w:pos="440" w:leader="none"/>
              <w:tab w:val="right" w:pos="9736" w:leader="dot"/>
            </w:tabs>
            <w:rPr>
              <w:rFonts w:eastAsia="" w:cs="Arial" w:eastAsiaTheme="minorEastAsia"/>
              <w:sz w:val="22"/>
              <w:szCs w:val="22"/>
            </w:rPr>
          </w:pPr>
          <w:hyperlink w:anchor="_Toc104906824">
            <w:r>
              <w:rPr>
                <w:webHidden/>
                <w:rStyle w:val="Vnculodendice"/>
                <w:rFonts w:eastAsia="Calibri" w:cs="Arial"/>
                <w:b/>
                <w:vanish w:val="false"/>
                <w:sz w:val="22"/>
                <w:szCs w:val="22"/>
              </w:rPr>
              <w:t>7.</w:t>
            </w:r>
            <w:r>
              <w:rPr>
                <w:rStyle w:val="Vnculodendice"/>
                <w:rFonts w:eastAsia="" w:cs="Arial" w:eastAsiaTheme="minorEastAsia"/>
                <w:sz w:val="22"/>
                <w:szCs w:val="22"/>
              </w:rPr>
              <w:tab/>
            </w:r>
            <w:r>
              <w:rPr>
                <w:rStyle w:val="Vnculodendice"/>
                <w:rFonts w:eastAsia="Calibri" w:cs="Arial"/>
                <w:sz w:val="22"/>
                <w:szCs w:val="22"/>
              </w:rPr>
              <w:t>CONTRATAÇÃO</w:t>
            </w:r>
            <w:r>
              <w:rPr>
                <w:webHidden/>
              </w:rPr>
              <w:fldChar w:fldCharType="begin"/>
            </w:r>
            <w:r>
              <w:rPr>
                <w:webHidden/>
              </w:rPr>
              <w:instrText>PAGEREF _Toc104906824 \h</w:instrText>
            </w:r>
            <w:r>
              <w:rPr>
                <w:webHidden/>
              </w:rPr>
              <w:fldChar w:fldCharType="separate"/>
            </w:r>
            <w:r>
              <w:rPr>
                <w:rStyle w:val="Vnculodendice"/>
                <w:rFonts w:cs="Arial"/>
                <w:vanish w:val="false"/>
                <w:sz w:val="22"/>
                <w:szCs w:val="22"/>
              </w:rPr>
              <w:tab/>
              <w:t>12</w:t>
            </w:r>
            <w:r>
              <w:rPr>
                <w:webHidden/>
              </w:rPr>
              <w:fldChar w:fldCharType="end"/>
            </w:r>
          </w:hyperlink>
        </w:p>
        <w:p>
          <w:pPr>
            <w:pStyle w:val="Sumrio1"/>
            <w:tabs>
              <w:tab w:val="left" w:pos="440" w:leader="none"/>
              <w:tab w:val="right" w:pos="9736" w:leader="dot"/>
            </w:tabs>
            <w:rPr>
              <w:rFonts w:eastAsia="" w:cs="Arial" w:eastAsiaTheme="minorEastAsia"/>
              <w:sz w:val="22"/>
              <w:szCs w:val="22"/>
            </w:rPr>
          </w:pPr>
          <w:hyperlink w:anchor="_Toc104906825">
            <w:r>
              <w:rPr>
                <w:webHidden/>
                <w:rStyle w:val="Vnculodendice"/>
                <w:rFonts w:eastAsia="Calibri" w:cs="Arial"/>
                <w:b/>
                <w:vanish w:val="false"/>
                <w:sz w:val="22"/>
                <w:szCs w:val="22"/>
              </w:rPr>
              <w:t>8.</w:t>
            </w:r>
            <w:r>
              <w:rPr>
                <w:rStyle w:val="Vnculodendice"/>
                <w:rFonts w:eastAsia="" w:cs="Arial" w:eastAsiaTheme="minorEastAsia"/>
                <w:sz w:val="22"/>
                <w:szCs w:val="22"/>
              </w:rPr>
              <w:tab/>
            </w:r>
            <w:r>
              <w:rPr>
                <w:rStyle w:val="Vnculodendice"/>
                <w:rFonts w:eastAsia="Calibri" w:cs="Arial"/>
                <w:sz w:val="22"/>
                <w:szCs w:val="22"/>
              </w:rPr>
              <w:t>SANÇÕES</w:t>
            </w:r>
            <w:r>
              <w:rPr>
                <w:webHidden/>
              </w:rPr>
              <w:fldChar w:fldCharType="begin"/>
            </w:r>
            <w:r>
              <w:rPr>
                <w:webHidden/>
              </w:rPr>
              <w:instrText>PAGEREF _Toc104906825 \h</w:instrText>
            </w:r>
            <w:r>
              <w:rPr>
                <w:webHidden/>
              </w:rPr>
              <w:fldChar w:fldCharType="separate"/>
            </w:r>
            <w:r>
              <w:rPr>
                <w:rStyle w:val="Vnculodendice"/>
                <w:rFonts w:cs="Arial"/>
                <w:vanish w:val="false"/>
                <w:sz w:val="22"/>
                <w:szCs w:val="22"/>
              </w:rPr>
              <w:tab/>
              <w:t>13</w:t>
            </w:r>
            <w:r>
              <w:rPr>
                <w:webHidden/>
              </w:rPr>
              <w:fldChar w:fldCharType="end"/>
            </w:r>
          </w:hyperlink>
        </w:p>
        <w:p>
          <w:pPr>
            <w:pStyle w:val="Sumrio1"/>
            <w:tabs>
              <w:tab w:val="left" w:pos="440" w:leader="none"/>
              <w:tab w:val="right" w:pos="9736" w:leader="dot"/>
            </w:tabs>
            <w:rPr>
              <w:rFonts w:eastAsia="" w:cs="Arial" w:eastAsiaTheme="minorEastAsia"/>
              <w:sz w:val="22"/>
              <w:szCs w:val="22"/>
            </w:rPr>
          </w:pPr>
          <w:hyperlink w:anchor="_Toc104906826">
            <w:r>
              <w:rPr>
                <w:webHidden/>
                <w:rStyle w:val="Vnculodendice"/>
                <w:rFonts w:eastAsia="Calibri" w:cs="Arial"/>
                <w:b/>
                <w:vanish w:val="false"/>
                <w:sz w:val="22"/>
                <w:szCs w:val="22"/>
              </w:rPr>
              <w:t>9.</w:t>
            </w:r>
            <w:r>
              <w:rPr>
                <w:rStyle w:val="Vnculodendice"/>
                <w:rFonts w:eastAsia="" w:cs="Arial" w:eastAsiaTheme="minorEastAsia"/>
                <w:sz w:val="22"/>
                <w:szCs w:val="22"/>
              </w:rPr>
              <w:tab/>
            </w:r>
            <w:r>
              <w:rPr>
                <w:rStyle w:val="Vnculodendice"/>
                <w:rFonts w:eastAsia="Calibri" w:cs="Arial"/>
                <w:sz w:val="22"/>
                <w:szCs w:val="22"/>
              </w:rPr>
              <w:t>DAS DISPOSIÇÕES GERAIS</w:t>
            </w:r>
            <w:r>
              <w:rPr>
                <w:webHidden/>
              </w:rPr>
              <w:fldChar w:fldCharType="begin"/>
            </w:r>
            <w:r>
              <w:rPr>
                <w:webHidden/>
              </w:rPr>
              <w:instrText>PAGEREF _Toc104906826 \h</w:instrText>
            </w:r>
            <w:r>
              <w:rPr>
                <w:webHidden/>
              </w:rPr>
              <w:fldChar w:fldCharType="separate"/>
            </w:r>
            <w:r>
              <w:rPr>
                <w:rStyle w:val="Vnculodendice"/>
                <w:rFonts w:cs="Arial"/>
                <w:vanish w:val="false"/>
                <w:sz w:val="22"/>
                <w:szCs w:val="22"/>
              </w:rPr>
              <w:tab/>
              <w:t>15</w:t>
            </w:r>
            <w:r>
              <w:rPr>
                <w:webHidden/>
              </w:rPr>
              <w:fldChar w:fldCharType="end"/>
            </w:r>
          </w:hyperlink>
        </w:p>
        <w:p>
          <w:pPr>
            <w:pStyle w:val="Normal"/>
            <w:rPr/>
          </w:pPr>
          <w:r>
            <w:rPr/>
          </w:r>
          <w:r>
            <w:fldChar w:fldCharType="end"/>
          </w:r>
        </w:p>
      </w:sdtContent>
    </w:sdt>
    <w:p>
      <w:pPr>
        <w:pStyle w:val="Ttulo1"/>
        <w:rPr>
          <w:rFonts w:cs="Arial"/>
          <w:b/>
          <w:b/>
          <w:bCs/>
          <w:i/>
          <w:i/>
          <w:iCs/>
          <w:color w:val="FF0000"/>
          <w:sz w:val="24"/>
        </w:rPr>
      </w:pPr>
      <w:r>
        <w:rPr>
          <w:rFonts w:cs="Arial"/>
          <w:b/>
          <w:bCs/>
          <w:i/>
          <w:iCs/>
          <w:color w:val="FF0000"/>
          <w:sz w:val="24"/>
        </w:rPr>
      </w:r>
      <w:r>
        <w:br w:type="page"/>
      </w:r>
    </w:p>
    <w:p>
      <w:pPr>
        <w:pStyle w:val="Normal"/>
        <w:bidi w:val="0"/>
        <w:spacing w:lineRule="auto" w:line="240" w:before="0" w:after="0"/>
        <w:contextualSpacing/>
        <w:jc w:val="center"/>
        <w:rPr>
          <w:rFonts w:ascii="Arial" w:hAnsi="Arial" w:cs="Arial"/>
          <w:b/>
          <w:b/>
          <w:bCs/>
          <w:sz w:val="22"/>
          <w:szCs w:val="22"/>
        </w:rPr>
      </w:pPr>
      <w:r>
        <w:rPr>
          <w:rFonts w:cs="Arial"/>
          <w:b/>
          <w:bCs/>
          <w:sz w:val="22"/>
          <w:szCs w:val="22"/>
        </w:rPr>
        <w:drawing>
          <wp:anchor behindDoc="0" distT="0" distB="0" distL="0" distR="0" simplePos="0" locked="0" layoutInCell="1" allowOverlap="1" relativeHeight="3">
            <wp:simplePos x="0" y="0"/>
            <wp:positionH relativeFrom="column">
              <wp:align>center</wp:align>
            </wp:positionH>
            <wp:positionV relativeFrom="paragraph">
              <wp:posOffset>53975</wp:posOffset>
            </wp:positionV>
            <wp:extent cx="728345" cy="570230"/>
            <wp:effectExtent l="0" t="0" r="0" b="0"/>
            <wp:wrapSquare wrapText="bothSides"/>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2"/>
                    <a:stretch>
                      <a:fillRect/>
                    </a:stretch>
                  </pic:blipFill>
                  <pic:spPr bwMode="auto">
                    <a:xfrm>
                      <a:off x="0" y="0"/>
                      <a:ext cx="728345" cy="570230"/>
                    </a:xfrm>
                    <a:prstGeom prst="rect">
                      <a:avLst/>
                    </a:prstGeom>
                  </pic:spPr>
                </pic:pic>
              </a:graphicData>
            </a:graphic>
          </wp:anchor>
        </w:drawing>
      </w:r>
    </w:p>
    <w:p>
      <w:pPr>
        <w:pStyle w:val="Normal"/>
        <w:bidi w:val="0"/>
        <w:spacing w:lineRule="auto" w:line="240" w:before="0" w:after="0"/>
        <w:contextualSpacing/>
        <w:jc w:val="center"/>
        <w:rPr>
          <w:rFonts w:ascii="Arial" w:hAnsi="Arial" w:cs="Arial"/>
          <w:b/>
          <w:b/>
          <w:bCs/>
          <w:sz w:val="22"/>
          <w:szCs w:val="22"/>
        </w:rPr>
      </w:pPr>
      <w:r>
        <w:rPr>
          <w:rFonts w:cs="Arial"/>
          <w:b/>
          <w:bCs/>
          <w:sz w:val="22"/>
          <w:szCs w:val="22"/>
        </w:rPr>
      </w:r>
    </w:p>
    <w:p>
      <w:pPr>
        <w:pStyle w:val="Normal"/>
        <w:bidi w:val="0"/>
        <w:spacing w:lineRule="auto" w:line="240" w:before="0" w:after="0"/>
        <w:contextualSpacing/>
        <w:jc w:val="center"/>
        <w:rPr>
          <w:rFonts w:ascii="Arial" w:hAnsi="Arial" w:cs="Arial"/>
          <w:b/>
          <w:b/>
          <w:bCs/>
          <w:sz w:val="22"/>
          <w:szCs w:val="22"/>
        </w:rPr>
      </w:pPr>
      <w:r>
        <w:rPr>
          <w:rFonts w:cs="Arial"/>
          <w:b/>
          <w:bCs/>
          <w:sz w:val="22"/>
          <w:szCs w:val="22"/>
        </w:rPr>
      </w:r>
    </w:p>
    <w:p>
      <w:pPr>
        <w:pStyle w:val="Normal"/>
        <w:bidi w:val="0"/>
        <w:spacing w:lineRule="auto" w:line="240" w:before="0" w:after="0"/>
        <w:contextualSpacing/>
        <w:jc w:val="center"/>
        <w:rPr>
          <w:rFonts w:ascii="Arial" w:hAnsi="Arial" w:cs="Arial"/>
          <w:b/>
          <w:b/>
          <w:bCs/>
          <w:sz w:val="22"/>
          <w:szCs w:val="22"/>
        </w:rPr>
      </w:pPr>
      <w:r>
        <w:rPr>
          <w:rFonts w:cs="Arial"/>
          <w:b/>
          <w:bCs/>
          <w:sz w:val="22"/>
          <w:szCs w:val="22"/>
        </w:rPr>
      </w:r>
    </w:p>
    <w:p>
      <w:pPr>
        <w:pStyle w:val="Normal"/>
        <w:bidi w:val="0"/>
        <w:spacing w:lineRule="auto" w:line="240" w:before="0" w:after="0"/>
        <w:contextualSpacing/>
        <w:jc w:val="center"/>
        <w:rPr>
          <w:rFonts w:ascii="Arial" w:hAnsi="Arial" w:cs="Arial"/>
          <w:b/>
          <w:b/>
          <w:bCs/>
          <w:sz w:val="22"/>
          <w:szCs w:val="22"/>
        </w:rPr>
      </w:pPr>
      <w:r>
        <w:rPr>
          <w:rFonts w:cs="Arial"/>
          <w:b/>
          <w:bCs/>
          <w:sz w:val="22"/>
          <w:szCs w:val="22"/>
        </w:rPr>
        <w:t>MINISTÉRIO DA DEFESA</w:t>
      </w:r>
    </w:p>
    <w:p>
      <w:pPr>
        <w:pStyle w:val="Normal"/>
        <w:bidi w:val="0"/>
        <w:spacing w:lineRule="auto" w:line="240" w:before="0" w:after="0"/>
        <w:contextualSpacing/>
        <w:jc w:val="center"/>
        <w:rPr>
          <w:rFonts w:ascii="Arial" w:hAnsi="Arial" w:cs="Arial"/>
          <w:b/>
          <w:b/>
          <w:bCs/>
          <w:sz w:val="22"/>
          <w:szCs w:val="22"/>
        </w:rPr>
      </w:pPr>
      <w:r>
        <w:rPr>
          <w:rFonts w:cs="Arial"/>
          <w:b/>
          <w:bCs/>
          <w:sz w:val="22"/>
          <w:szCs w:val="22"/>
        </w:rPr>
        <w:t>EXÉRCITO BRASILEIRO</w:t>
      </w:r>
    </w:p>
    <w:p>
      <w:pPr>
        <w:pStyle w:val="Normal"/>
        <w:bidi w:val="0"/>
        <w:spacing w:lineRule="auto" w:line="240" w:before="0" w:after="0"/>
        <w:contextualSpacing/>
        <w:jc w:val="center"/>
        <w:rPr>
          <w:rFonts w:ascii="Arial" w:hAnsi="Arial" w:cs="Arial"/>
          <w:b/>
          <w:b/>
          <w:bCs/>
          <w:sz w:val="22"/>
          <w:szCs w:val="22"/>
        </w:rPr>
      </w:pPr>
      <w:r>
        <w:rPr>
          <w:rFonts w:cs="Arial"/>
          <w:b/>
          <w:bCs/>
          <w:sz w:val="22"/>
          <w:szCs w:val="22"/>
        </w:rPr>
        <w:t>6º DEPÓSITO DE SUPRIMENTO</w:t>
      </w:r>
    </w:p>
    <w:p>
      <w:pPr>
        <w:pStyle w:val="Normal"/>
        <w:bidi w:val="0"/>
        <w:spacing w:lineRule="auto" w:line="240" w:before="0" w:after="0"/>
        <w:contextualSpacing/>
        <w:jc w:val="center"/>
        <w:rPr>
          <w:rFonts w:ascii="Arial" w:hAnsi="Arial" w:cs="Times New Roman"/>
          <w:b/>
          <w:b/>
          <w:bCs/>
          <w:sz w:val="22"/>
          <w:szCs w:val="22"/>
        </w:rPr>
      </w:pPr>
      <w:r>
        <w:rPr>
          <w:rFonts w:cs="Times New Roman"/>
          <w:b/>
          <w:bCs/>
          <w:sz w:val="22"/>
          <w:szCs w:val="22"/>
        </w:rPr>
        <w:t>(Estb Subs Mil 6ª RM/1945)</w:t>
      </w:r>
    </w:p>
    <w:p>
      <w:pPr>
        <w:pStyle w:val="Normal"/>
        <w:bidi w:val="0"/>
        <w:spacing w:lineRule="auto" w:line="240" w:before="0" w:after="0"/>
        <w:contextualSpacing/>
        <w:jc w:val="center"/>
        <w:rPr>
          <w:rFonts w:ascii="Arial" w:hAnsi="Arial" w:cs="Times New Roman"/>
          <w:b/>
          <w:b/>
          <w:bCs/>
          <w:sz w:val="22"/>
          <w:szCs w:val="22"/>
        </w:rPr>
      </w:pPr>
      <w:r>
        <w:rPr>
          <w:rFonts w:cs="Times New Roman"/>
          <w:b/>
          <w:bCs/>
          <w:sz w:val="22"/>
          <w:szCs w:val="22"/>
        </w:rPr>
      </w:r>
    </w:p>
    <w:p>
      <w:pPr>
        <w:pStyle w:val="Normal"/>
        <w:bidi w:val="0"/>
        <w:spacing w:lineRule="auto" w:line="240" w:before="0" w:after="0"/>
        <w:contextualSpacing/>
        <w:jc w:val="center"/>
        <w:rPr>
          <w:rFonts w:ascii="Arial" w:hAnsi="Arial" w:cs="Times New Roman"/>
          <w:b/>
          <w:b/>
          <w:bCs/>
          <w:sz w:val="22"/>
          <w:szCs w:val="22"/>
        </w:rPr>
      </w:pPr>
      <w:r>
        <w:rPr>
          <w:rFonts w:cs="Times New Roman"/>
          <w:b/>
          <w:bCs/>
          <w:sz w:val="22"/>
          <w:szCs w:val="22"/>
        </w:rPr>
      </w:r>
    </w:p>
    <w:p>
      <w:pPr>
        <w:pStyle w:val="Normal"/>
        <w:spacing w:lineRule="auto" w:line="276"/>
        <w:jc w:val="center"/>
        <w:rPr>
          <w:rFonts w:ascii="Arial" w:hAnsi="Arial"/>
          <w:sz w:val="22"/>
          <w:szCs w:val="22"/>
        </w:rPr>
      </w:pPr>
      <w:r>
        <w:rPr>
          <w:rFonts w:cs="Arial"/>
          <w:b/>
          <w:bCs/>
          <w:i w:val="false"/>
          <w:iCs w:val="false"/>
          <w:color w:val="000000"/>
          <w:sz w:val="22"/>
          <w:szCs w:val="22"/>
        </w:rPr>
        <w:t>AVISO DE DISPENSA ELETRÔNICA Nº 01/2023</w:t>
      </w:r>
    </w:p>
    <w:p>
      <w:pPr>
        <w:pStyle w:val="Normal"/>
        <w:spacing w:lineRule="auto" w:line="276" w:before="0" w:after="120"/>
        <w:ind w:left="0" w:right="-15" w:hanging="0"/>
        <w:jc w:val="center"/>
        <w:rPr/>
      </w:pPr>
      <w:r>
        <w:rPr>
          <w:rFonts w:cs="Arial"/>
          <w:b/>
          <w:bCs/>
          <w:i w:val="false"/>
          <w:iCs w:val="false"/>
          <w:color w:val="000000"/>
          <w:sz w:val="22"/>
          <w:szCs w:val="22"/>
        </w:rPr>
        <w:t xml:space="preserve">(Processo Administrativo n.° </w:t>
      </w:r>
      <w:bookmarkStart w:id="2" w:name="__DdeLink__7479_2659106314"/>
      <w:r>
        <w:rPr>
          <w:rStyle w:val="Fontepargpadro"/>
          <w:rFonts w:eastAsia="Times New Roman" w:cs="Arial"/>
          <w:b/>
          <w:bCs/>
          <w:i w:val="false"/>
          <w:iCs w:val="false"/>
          <w:color w:val="000000"/>
          <w:sz w:val="22"/>
          <w:szCs w:val="22"/>
          <w:lang w:val="pt-BR" w:eastAsia="zxx" w:bidi="ar-SA"/>
        </w:rPr>
        <w:t>64452.000148/2023-11</w:t>
      </w:r>
      <w:bookmarkEnd w:id="2"/>
      <w:r>
        <w:rPr>
          <w:rFonts w:cs="Arial"/>
          <w:b/>
          <w:bCs/>
          <w:i w:val="false"/>
          <w:iCs w:val="false"/>
          <w:color w:val="000000"/>
          <w:sz w:val="22"/>
          <w:szCs w:val="22"/>
        </w:rPr>
        <w:t>)</w:t>
      </w:r>
    </w:p>
    <w:p>
      <w:pPr>
        <w:pStyle w:val="Normal"/>
        <w:rPr>
          <w:rFonts w:ascii="Arial" w:hAnsi="Arial" w:cs="Arial"/>
          <w:sz w:val="22"/>
          <w:szCs w:val="22"/>
        </w:rPr>
      </w:pPr>
      <w:r>
        <w:rPr>
          <w:rFonts w:cs="Arial"/>
          <w:sz w:val="22"/>
          <w:szCs w:val="22"/>
        </w:rPr>
      </w:r>
    </w:p>
    <w:p>
      <w:pPr>
        <w:pStyle w:val="Normal"/>
        <w:snapToGrid w:val="false"/>
        <w:spacing w:lineRule="auto" w:line="276" w:before="0" w:after="120"/>
        <w:ind w:left="0" w:right="-30" w:firstLine="540"/>
        <w:jc w:val="both"/>
        <w:rPr>
          <w:rFonts w:ascii="Arial" w:hAnsi="Arial"/>
          <w:i w:val="false"/>
          <w:i w:val="false"/>
          <w:iCs w:val="false"/>
          <w:color w:val="000000"/>
          <w:sz w:val="22"/>
          <w:szCs w:val="22"/>
        </w:rPr>
      </w:pPr>
      <w:r>
        <w:rPr>
          <w:rFonts w:cs="Arial"/>
          <w:i w:val="false"/>
          <w:iCs w:val="false"/>
          <w:color w:val="000000"/>
          <w:sz w:val="22"/>
          <w:szCs w:val="22"/>
        </w:rPr>
        <w:t xml:space="preserve">Torna-se público que o 6° Depósito de Suprimento, por meio da Seção de Aquisições Licitações e Contratos, realizará Dispensa Eletrônica, </w:t>
      </w:r>
      <w:r>
        <w:rPr>
          <w:rFonts w:cs="Arial"/>
          <w:bCs/>
          <w:i w:val="false"/>
          <w:iCs w:val="false"/>
          <w:color w:val="000000"/>
          <w:sz w:val="22"/>
          <w:szCs w:val="22"/>
        </w:rPr>
        <w:t>com critério de julgamento</w:t>
      </w:r>
      <w:r>
        <w:rPr>
          <w:rFonts w:cs="Arial"/>
          <w:b/>
          <w:bCs/>
          <w:i w:val="false"/>
          <w:iCs w:val="false"/>
          <w:color w:val="000000"/>
          <w:sz w:val="22"/>
          <w:szCs w:val="22"/>
        </w:rPr>
        <w:t xml:space="preserve"> </w:t>
      </w:r>
      <w:r>
        <w:rPr>
          <w:rFonts w:cs="Arial"/>
          <w:b w:val="false"/>
          <w:bCs w:val="false"/>
          <w:i w:val="false"/>
          <w:iCs w:val="false"/>
          <w:color w:val="000000"/>
          <w:sz w:val="22"/>
          <w:szCs w:val="22"/>
        </w:rPr>
        <w:t>menor preço,</w:t>
      </w:r>
      <w:r>
        <w:rPr>
          <w:rFonts w:cs="Arial"/>
          <w:b/>
          <w:bCs/>
          <w:i w:val="false"/>
          <w:iCs w:val="false"/>
          <w:color w:val="000000"/>
          <w:sz w:val="22"/>
          <w:szCs w:val="22"/>
        </w:rPr>
        <w:t xml:space="preserve"> </w:t>
      </w:r>
      <w:r>
        <w:rPr>
          <w:rFonts w:cs="Arial"/>
          <w:i w:val="false"/>
          <w:iCs w:val="false"/>
          <w:color w:val="000000"/>
          <w:sz w:val="22"/>
          <w:szCs w:val="22"/>
        </w:rPr>
        <w:t>na hipótese do art. 75, inciso</w:t>
      </w:r>
      <w:r>
        <w:rPr>
          <w:rFonts w:cs="Arial"/>
          <w:b/>
          <w:i w:val="false"/>
          <w:iCs w:val="false"/>
          <w:color w:val="000000"/>
          <w:sz w:val="22"/>
          <w:szCs w:val="22"/>
        </w:rPr>
        <w:t xml:space="preserve"> II</w:t>
      </w:r>
      <w:r>
        <w:rPr>
          <w:rFonts w:cs="Arial"/>
          <w:i w:val="false"/>
          <w:iCs w:val="false"/>
          <w:color w:val="000000"/>
          <w:sz w:val="22"/>
          <w:szCs w:val="22"/>
        </w:rPr>
        <w:t xml:space="preserve">, </w:t>
      </w:r>
      <w:r>
        <w:rPr>
          <w:rFonts w:cs="Arial"/>
          <w:bCs/>
          <w:i w:val="false"/>
          <w:iCs w:val="false"/>
          <w:color w:val="000000"/>
          <w:sz w:val="22"/>
          <w:szCs w:val="22"/>
        </w:rPr>
        <w:t>nos termos da Lei nº 14.133, de 1º de abril de 2021, da Instrução Normativa SEGES/ME nº 67/2021 e demais legislação aplicável</w:t>
      </w:r>
      <w:r>
        <w:rPr>
          <w:rFonts w:cs="Arial"/>
          <w:i w:val="false"/>
          <w:iCs w:val="false"/>
          <w:color w:val="000000"/>
          <w:sz w:val="22"/>
          <w:szCs w:val="22"/>
        </w:rPr>
        <w:t>.</w:t>
      </w:r>
    </w:p>
    <w:p>
      <w:pPr>
        <w:pStyle w:val="Normal"/>
        <w:spacing w:lineRule="auto" w:line="276"/>
        <w:jc w:val="both"/>
        <w:rPr>
          <w:rFonts w:ascii="Arial" w:hAnsi="Arial"/>
          <w:sz w:val="22"/>
          <w:szCs w:val="22"/>
        </w:rPr>
      </w:pPr>
      <w:r>
        <w:rPr>
          <w:rFonts w:cs="Arial"/>
          <w:i w:val="false"/>
          <w:iCs w:val="false"/>
          <w:color w:val="000000"/>
          <w:sz w:val="22"/>
          <w:szCs w:val="22"/>
        </w:rPr>
        <w:t>Data da sessão: 13 de janeiro de 2023</w:t>
      </w:r>
    </w:p>
    <w:p>
      <w:pPr>
        <w:pStyle w:val="Normal"/>
        <w:rPr>
          <w:rFonts w:ascii="Arial" w:hAnsi="Arial" w:cs="Arial"/>
          <w:i w:val="false"/>
          <w:i w:val="false"/>
          <w:iCs w:val="false"/>
          <w:color w:val="000000"/>
          <w:sz w:val="22"/>
          <w:szCs w:val="22"/>
        </w:rPr>
      </w:pPr>
      <w:r>
        <w:rPr>
          <w:rFonts w:cs="Arial"/>
          <w:i w:val="false"/>
          <w:iCs w:val="false"/>
          <w:color w:val="000000"/>
          <w:sz w:val="22"/>
          <w:szCs w:val="22"/>
        </w:rPr>
        <w:t>Link: https://www.comprasnet.gov.br/seguro/loginPortal.asp</w:t>
      </w:r>
    </w:p>
    <w:p>
      <w:pPr>
        <w:pStyle w:val="Normal"/>
        <w:snapToGrid w:val="false"/>
        <w:spacing w:lineRule="auto" w:line="276" w:before="0" w:after="120"/>
        <w:ind w:right="-30" w:hanging="0"/>
        <w:jc w:val="both"/>
        <w:rPr/>
      </w:pPr>
      <w:r>
        <w:rPr>
          <w:rFonts w:cs="Arial"/>
          <w:i w:val="false"/>
          <w:iCs w:val="false"/>
          <w:color w:val="000000" w:themeColor="text1"/>
          <w:sz w:val="22"/>
          <w:szCs w:val="22"/>
        </w:rPr>
        <w:t>Horário da Fase de Lances: 08:00 de 16/01/2023 às 1</w:t>
      </w:r>
      <w:r>
        <w:rPr>
          <w:rFonts w:cs="Arial"/>
          <w:i w:val="false"/>
          <w:iCs w:val="false"/>
          <w:color w:val="000000" w:themeColor="text1"/>
          <w:sz w:val="22"/>
          <w:szCs w:val="22"/>
        </w:rPr>
        <w:t>4</w:t>
      </w:r>
      <w:r>
        <w:rPr>
          <w:rFonts w:cs="Arial"/>
          <w:i w:val="false"/>
          <w:iCs w:val="false"/>
          <w:color w:val="000000" w:themeColor="text1"/>
          <w:sz w:val="22"/>
          <w:szCs w:val="22"/>
        </w:rPr>
        <w:t>:00 de 1</w:t>
      </w:r>
      <w:r>
        <w:rPr>
          <w:rFonts w:cs="Arial"/>
          <w:i w:val="false"/>
          <w:iCs w:val="false"/>
          <w:color w:val="000000" w:themeColor="text1"/>
          <w:sz w:val="22"/>
          <w:szCs w:val="22"/>
        </w:rPr>
        <w:t>8</w:t>
      </w:r>
      <w:r>
        <w:rPr>
          <w:rFonts w:cs="Arial"/>
          <w:i w:val="false"/>
          <w:iCs w:val="false"/>
          <w:color w:val="000000" w:themeColor="text1"/>
          <w:sz w:val="22"/>
          <w:szCs w:val="22"/>
        </w:rPr>
        <w:t>/01/2023</w:t>
      </w:r>
    </w:p>
    <w:p>
      <w:pPr>
        <w:pStyle w:val="PADRO"/>
        <w:keepNext w:val="true"/>
        <w:widowControl/>
        <w:shd w:val="clear" w:color="auto" w:fill="auto"/>
        <w:spacing w:before="120" w:after="120"/>
        <w:ind w:left="360" w:hanging="0"/>
        <w:rPr>
          <w:rFonts w:ascii="Arial" w:hAnsi="Arial" w:cs="Arial"/>
          <w:b/>
          <w:b/>
          <w:sz w:val="22"/>
          <w:szCs w:val="22"/>
        </w:rPr>
      </w:pPr>
      <w:r>
        <w:rPr>
          <w:rFonts w:cs="Arial" w:ascii="Arial" w:hAnsi="Arial"/>
          <w:b/>
          <w:sz w:val="22"/>
          <w:szCs w:val="22"/>
        </w:rPr>
      </w:r>
    </w:p>
    <w:p>
      <w:pPr>
        <w:pStyle w:val="Ttulo1"/>
        <w:numPr>
          <w:ilvl w:val="0"/>
          <w:numId w:val="1"/>
        </w:numPr>
        <w:rPr>
          <w:rFonts w:ascii="Arial" w:hAnsi="Arial" w:cs="Arial"/>
          <w:color w:val="00000A"/>
          <w:sz w:val="24"/>
          <w:szCs w:val="24"/>
        </w:rPr>
      </w:pPr>
      <w:bookmarkStart w:id="3" w:name="_Toc104906818"/>
      <w:bookmarkEnd w:id="3"/>
      <w:r>
        <w:rPr>
          <w:rFonts w:cs="Arial" w:ascii="Arial" w:hAnsi="Arial"/>
          <w:b/>
          <w:bCs/>
          <w:color w:val="00000A"/>
          <w:sz w:val="22"/>
          <w:szCs w:val="22"/>
        </w:rPr>
        <w:t>OBJETO DA CONTRATAÇÃO DIRETA</w:t>
      </w:r>
    </w:p>
    <w:p>
      <w:pPr>
        <w:pStyle w:val="PADRO"/>
        <w:keepNext w:val="true"/>
        <w:widowControl/>
        <w:numPr>
          <w:ilvl w:val="1"/>
          <w:numId w:val="1"/>
        </w:numPr>
        <w:shd w:val="clear" w:color="auto" w:fill="auto"/>
        <w:spacing w:before="120" w:after="120"/>
        <w:rPr/>
      </w:pPr>
      <w:r>
        <w:rPr>
          <w:rFonts w:cs="Arial" w:ascii="Arial" w:hAnsi="Arial"/>
          <w:color w:val="000000" w:themeColor="text1"/>
          <w:sz w:val="22"/>
          <w:szCs w:val="22"/>
        </w:rPr>
        <w:t>O objeto da presente dispensa é a escolha da proposta mais vantajosa para a c</w:t>
      </w:r>
      <w:r>
        <w:rPr>
          <w:rStyle w:val="Unknown0"/>
          <w:rFonts w:cs="Arial" w:ascii="Arial" w:hAnsi="Arial"/>
          <w:b w:val="false"/>
          <w:bCs w:val="false"/>
          <w:iCs w:val="false"/>
          <w:color w:themeColor="text1"/>
          <w:sz w:val="22"/>
          <w:szCs w:val="22"/>
          <w:lang w:eastAsia="zxx" w:bidi="ar-SA"/>
        </w:rPr>
        <w:t>ontratação de serviços de locação com montagem e desmontagem de estrutura metálica para proteção do perímetro externo do Forte de São Pedro por ocasião do período de carnaval do ano de 2023</w:t>
      </w:r>
      <w:r>
        <w:rPr>
          <w:rFonts w:cs="Arial" w:ascii="Arial" w:hAnsi="Arial"/>
          <w:b/>
          <w:bCs/>
          <w:color w:val="000000" w:themeColor="text1"/>
          <w:sz w:val="22"/>
          <w:szCs w:val="22"/>
        </w:rPr>
        <w:t>,</w:t>
      </w:r>
      <w:r>
        <w:rPr>
          <w:rFonts w:cs="Arial" w:ascii="Arial" w:hAnsi="Arial"/>
          <w:color w:val="000000" w:themeColor="text1"/>
          <w:sz w:val="22"/>
          <w:szCs w:val="22"/>
        </w:rPr>
        <w:t xml:space="preserve"> conforme condições, quantidades e exigências estabelecidas neste Aviso de Contratação Direta e seus anexos.</w:t>
      </w:r>
    </w:p>
    <w:p>
      <w:pPr>
        <w:pStyle w:val="PADRO"/>
        <w:keepNext w:val="true"/>
        <w:widowControl/>
        <w:numPr>
          <w:ilvl w:val="1"/>
          <w:numId w:val="1"/>
        </w:numPr>
        <w:shd w:val="clear" w:color="auto" w:fill="auto"/>
        <w:spacing w:before="120" w:after="120"/>
        <w:rPr>
          <w:rFonts w:ascii="Arial" w:hAnsi="Arial"/>
          <w:i w:val="false"/>
          <w:i w:val="false"/>
          <w:iCs w:val="false"/>
          <w:color w:val="000000"/>
          <w:sz w:val="22"/>
          <w:szCs w:val="22"/>
        </w:rPr>
      </w:pPr>
      <w:r>
        <w:rPr>
          <w:rFonts w:cs="Arial" w:ascii="Arial" w:hAnsi="Arial"/>
          <w:i w:val="false"/>
          <w:iCs w:val="false"/>
          <w:color w:val="000000"/>
          <w:sz w:val="22"/>
          <w:szCs w:val="22"/>
        </w:rPr>
        <w:t>A contratação</w:t>
      </w:r>
      <w:r>
        <w:rPr>
          <w:rFonts w:cs="Arial" w:ascii="Arial" w:hAnsi="Arial"/>
          <w:b/>
          <w:bCs/>
          <w:i w:val="false"/>
          <w:iCs w:val="false"/>
          <w:color w:val="000000"/>
          <w:sz w:val="22"/>
          <w:szCs w:val="22"/>
        </w:rPr>
        <w:t xml:space="preserve"> </w:t>
      </w:r>
      <w:r>
        <w:rPr>
          <w:rFonts w:cs="Arial" w:ascii="Arial" w:hAnsi="Arial"/>
          <w:i w:val="false"/>
          <w:iCs w:val="false"/>
          <w:color w:val="000000"/>
          <w:sz w:val="22"/>
          <w:szCs w:val="22"/>
        </w:rPr>
        <w:t>ocorrerá em item único</w:t>
      </w:r>
      <w:r>
        <w:rPr>
          <w:rFonts w:cs="Arial" w:ascii="Arial" w:hAnsi="Arial"/>
          <w:b/>
          <w:bCs/>
          <w:i w:val="false"/>
          <w:iCs w:val="false"/>
          <w:color w:val="000000"/>
          <w:sz w:val="22"/>
          <w:szCs w:val="22"/>
        </w:rPr>
        <w:t>,</w:t>
      </w:r>
      <w:r>
        <w:rPr>
          <w:rFonts w:cs="Arial" w:ascii="Arial" w:hAnsi="Arial"/>
          <w:i w:val="false"/>
          <w:iCs w:val="false"/>
          <w:color w:val="000000"/>
          <w:sz w:val="22"/>
          <w:szCs w:val="22"/>
        </w:rPr>
        <w:t xml:space="preserve"> conforme tabela constante abaixo:</w:t>
      </w:r>
    </w:p>
    <w:tbl>
      <w:tblPr>
        <w:tblW w:w="11369" w:type="dxa"/>
        <w:jc w:val="left"/>
        <w:tblInd w:w="-772"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73" w:type="dxa"/>
          <w:bottom w:w="0" w:type="dxa"/>
          <w:right w:w="108" w:type="dxa"/>
        </w:tblCellMar>
        <w:tblLook w:firstRow="1" w:noVBand="1" w:lastRow="0" w:firstColumn="1" w:lastColumn="0" w:noHBand="0" w:val="04a0"/>
      </w:tblPr>
      <w:tblGrid>
        <w:gridCol w:w="794"/>
        <w:gridCol w:w="3370"/>
        <w:gridCol w:w="1286"/>
        <w:gridCol w:w="854"/>
        <w:gridCol w:w="1409"/>
        <w:gridCol w:w="1981"/>
        <w:gridCol w:w="1674"/>
      </w:tblGrid>
      <w:tr>
        <w:trPr/>
        <w:tc>
          <w:tcPr>
            <w:tcW w:w="79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73" w:type="dxa"/>
            </w:tcMar>
          </w:tcPr>
          <w:p>
            <w:pPr>
              <w:pStyle w:val="Normal"/>
              <w:widowControl w:val="false"/>
              <w:suppressAutoHyphens w:val="true"/>
              <w:jc w:val="center"/>
              <w:rPr>
                <w:rFonts w:cs="Arial"/>
                <w:b/>
                <w:b/>
                <w:bCs/>
                <w:color w:val="000000"/>
                <w:sz w:val="16"/>
                <w:szCs w:val="16"/>
              </w:rPr>
            </w:pPr>
            <w:r>
              <w:rPr>
                <w:rFonts w:cs="Arial"/>
                <w:b/>
                <w:bCs/>
                <w:color w:val="000000"/>
                <w:sz w:val="22"/>
                <w:szCs w:val="22"/>
              </w:rPr>
              <w:t>ITEM</w:t>
            </w:r>
          </w:p>
          <w:p>
            <w:pPr>
              <w:pStyle w:val="Normal"/>
              <w:widowControl w:val="false"/>
              <w:suppressAutoHyphens w:val="true"/>
              <w:jc w:val="center"/>
              <w:rPr>
                <w:rFonts w:ascii="Arial" w:hAnsi="Arial" w:cs="Arial"/>
                <w:b/>
                <w:b/>
                <w:bCs/>
                <w:color w:val="000000"/>
                <w:sz w:val="22"/>
                <w:szCs w:val="22"/>
              </w:rPr>
            </w:pPr>
            <w:r>
              <w:rPr>
                <w:rFonts w:cs="Arial"/>
                <w:b/>
                <w:bCs/>
                <w:color w:val="000000"/>
                <w:sz w:val="22"/>
                <w:szCs w:val="22"/>
              </w:rPr>
            </w:r>
          </w:p>
        </w:tc>
        <w:tc>
          <w:tcPr>
            <w:tcW w:w="337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73" w:type="dxa"/>
            </w:tcMar>
          </w:tcPr>
          <w:p>
            <w:pPr>
              <w:pStyle w:val="Normal"/>
              <w:jc w:val="center"/>
              <w:rPr>
                <w:rFonts w:cs="Arial"/>
                <w:b/>
                <w:b/>
                <w:bCs/>
                <w:color w:val="000000"/>
                <w:sz w:val="16"/>
                <w:szCs w:val="16"/>
              </w:rPr>
            </w:pPr>
            <w:r>
              <w:rPr>
                <w:rFonts w:cs="Arial"/>
                <w:b/>
                <w:bCs/>
                <w:color w:val="000000"/>
                <w:sz w:val="22"/>
                <w:szCs w:val="22"/>
              </w:rPr>
              <w:t>DESCRIÇÃO/</w:t>
            </w:r>
          </w:p>
          <w:p>
            <w:pPr>
              <w:pStyle w:val="Normal"/>
              <w:widowControl w:val="false"/>
              <w:suppressAutoHyphens w:val="true"/>
              <w:jc w:val="center"/>
              <w:rPr>
                <w:rFonts w:cs="Arial"/>
                <w:b/>
                <w:b/>
                <w:bCs/>
                <w:color w:val="000000"/>
                <w:sz w:val="16"/>
                <w:szCs w:val="16"/>
              </w:rPr>
            </w:pPr>
            <w:r>
              <w:rPr>
                <w:rFonts w:cs="Arial"/>
                <w:b/>
                <w:bCs/>
                <w:color w:val="000000"/>
                <w:sz w:val="22"/>
                <w:szCs w:val="22"/>
              </w:rPr>
              <w:t>ESPECIFICAÇÃO</w:t>
            </w:r>
          </w:p>
        </w:tc>
        <w:tc>
          <w:tcPr>
            <w:tcW w:w="128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73" w:type="dxa"/>
            </w:tcMar>
          </w:tcPr>
          <w:p>
            <w:pPr>
              <w:pStyle w:val="Normal"/>
              <w:widowControl w:val="false"/>
              <w:suppressAutoHyphens w:val="true"/>
              <w:jc w:val="center"/>
              <w:rPr>
                <w:rFonts w:ascii="Arial" w:hAnsi="Arial"/>
                <w:sz w:val="20"/>
                <w:szCs w:val="20"/>
              </w:rPr>
            </w:pPr>
            <w:r>
              <w:rPr>
                <w:rFonts w:cs="Arial"/>
                <w:b/>
                <w:bCs/>
                <w:color w:val="000000"/>
                <w:sz w:val="22"/>
                <w:szCs w:val="22"/>
              </w:rPr>
              <w:t>UND</w:t>
            </w:r>
          </w:p>
        </w:tc>
        <w:tc>
          <w:tcPr>
            <w:tcW w:w="85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73" w:type="dxa"/>
            </w:tcMar>
          </w:tcPr>
          <w:p>
            <w:pPr>
              <w:pStyle w:val="Normal"/>
              <w:widowControl w:val="false"/>
              <w:suppressAutoHyphens w:val="true"/>
              <w:jc w:val="center"/>
              <w:rPr>
                <w:rFonts w:ascii="Arial" w:hAnsi="Arial"/>
                <w:sz w:val="20"/>
                <w:szCs w:val="20"/>
              </w:rPr>
            </w:pPr>
            <w:r>
              <w:rPr>
                <w:rFonts w:cs="Arial"/>
                <w:b/>
                <w:bCs/>
                <w:color w:val="000000"/>
                <w:sz w:val="22"/>
                <w:szCs w:val="22"/>
              </w:rPr>
              <w:t>QTDE</w:t>
            </w:r>
          </w:p>
        </w:tc>
        <w:tc>
          <w:tcPr>
            <w:tcW w:w="14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73" w:type="dxa"/>
            </w:tcMar>
          </w:tcPr>
          <w:p>
            <w:pPr>
              <w:pStyle w:val="Normal"/>
              <w:widowControl w:val="false"/>
              <w:suppressAutoHyphens w:val="true"/>
              <w:jc w:val="center"/>
              <w:rPr>
                <w:rFonts w:cs="Arial"/>
                <w:b/>
                <w:b/>
                <w:bCs/>
                <w:color w:val="000000"/>
                <w:sz w:val="16"/>
                <w:szCs w:val="16"/>
              </w:rPr>
            </w:pPr>
            <w:r>
              <w:rPr>
                <w:rFonts w:cs="Arial"/>
                <w:b/>
                <w:bCs/>
                <w:color w:val="000000"/>
                <w:sz w:val="22"/>
                <w:szCs w:val="22"/>
              </w:rPr>
              <w:t>PREÇO ESTIMADO</w:t>
            </w:r>
          </w:p>
        </w:tc>
        <w:tc>
          <w:tcPr>
            <w:tcW w:w="198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73" w:type="dxa"/>
            </w:tcMar>
          </w:tcPr>
          <w:p>
            <w:pPr>
              <w:pStyle w:val="Normal"/>
              <w:widowControl w:val="false"/>
              <w:suppressAutoHyphens w:val="true"/>
              <w:jc w:val="center"/>
              <w:rPr>
                <w:rFonts w:cs="Arial"/>
                <w:b/>
                <w:b/>
                <w:bCs/>
                <w:color w:val="000000"/>
                <w:sz w:val="16"/>
                <w:szCs w:val="16"/>
              </w:rPr>
            </w:pPr>
            <w:r>
              <w:rPr>
                <w:rFonts w:cs="Arial"/>
                <w:b/>
                <w:bCs/>
                <w:color w:val="000000"/>
                <w:sz w:val="22"/>
                <w:szCs w:val="22"/>
              </w:rPr>
              <w:t>LOCAL DE EXECUÇÃO</w:t>
            </w:r>
          </w:p>
        </w:tc>
        <w:tc>
          <w:tcPr>
            <w:tcW w:w="167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73" w:type="dxa"/>
            </w:tcMar>
          </w:tcPr>
          <w:p>
            <w:pPr>
              <w:pStyle w:val="Normal"/>
              <w:widowControl w:val="false"/>
              <w:suppressAutoHyphens w:val="true"/>
              <w:jc w:val="center"/>
              <w:rPr>
                <w:rFonts w:cs="Arial"/>
                <w:b/>
                <w:b/>
                <w:bCs/>
                <w:color w:val="000000"/>
                <w:sz w:val="16"/>
                <w:szCs w:val="16"/>
              </w:rPr>
            </w:pPr>
            <w:r>
              <w:rPr>
                <w:rFonts w:cs="Arial"/>
                <w:b/>
                <w:bCs/>
                <w:color w:val="000000"/>
                <w:sz w:val="22"/>
                <w:szCs w:val="22"/>
              </w:rPr>
              <w:t>PRAZO DE EXECUÇÃO</w:t>
            </w:r>
          </w:p>
        </w:tc>
      </w:tr>
      <w:tr>
        <w:trPr/>
        <w:tc>
          <w:tcPr>
            <w:tcW w:w="79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73" w:type="dxa"/>
            </w:tcMar>
            <w:vAlign w:val="center"/>
          </w:tcPr>
          <w:p>
            <w:pPr>
              <w:pStyle w:val="SemEspaamento"/>
              <w:jc w:val="center"/>
              <w:rPr>
                <w:rFonts w:ascii="Arial" w:hAnsi="Arial" w:cs="Arial"/>
                <w:color w:val="000000"/>
                <w:sz w:val="22"/>
                <w:szCs w:val="22"/>
              </w:rPr>
            </w:pPr>
            <w:r>
              <w:rPr>
                <w:rFonts w:cs="Arial" w:ascii="Arial" w:hAnsi="Arial"/>
                <w:color w:val="000000"/>
                <w:sz w:val="22"/>
                <w:szCs w:val="22"/>
              </w:rPr>
              <w:t>1</w:t>
            </w:r>
          </w:p>
        </w:tc>
        <w:tc>
          <w:tcPr>
            <w:tcW w:w="337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73" w:type="dxa"/>
            </w:tcMar>
            <w:vAlign w:val="center"/>
          </w:tcPr>
          <w:p>
            <w:pPr>
              <w:pStyle w:val="Normal"/>
              <w:jc w:val="both"/>
              <w:rPr>
                <w:rFonts w:ascii="Arial" w:hAnsi="Arial"/>
                <w:b w:val="false"/>
                <w:b w:val="false"/>
                <w:bCs w:val="false"/>
                <w:i w:val="false"/>
                <w:i w:val="false"/>
                <w:iCs w:val="false"/>
                <w:color w:val="000000"/>
                <w:sz w:val="22"/>
                <w:szCs w:val="22"/>
              </w:rPr>
            </w:pPr>
            <w:r>
              <w:rPr>
                <w:b w:val="false"/>
                <w:bCs w:val="false"/>
                <w:i w:val="false"/>
                <w:iCs w:val="false"/>
                <w:strike w:val="false"/>
                <w:dstrike w:val="false"/>
                <w:outline w:val="false"/>
                <w:shadow w:val="false"/>
                <w:color w:val="000000"/>
                <w:sz w:val="22"/>
                <w:szCs w:val="22"/>
                <w:u w:val="none"/>
                <w:em w:val="none"/>
              </w:rPr>
              <w:t>Locação, Montagem E Desmontagem De 242 Metros Lineares De Placas De</w:t>
              <w:br/>
              <w:t>Fechamento Metálico (tapume Metálico/Chapa Alta) Medindo 2,10 Metros De Altura Por 2 Metros De Comprimento.</w:t>
            </w:r>
          </w:p>
        </w:tc>
        <w:tc>
          <w:tcPr>
            <w:tcW w:w="128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73" w:type="dxa"/>
            </w:tcMar>
            <w:vAlign w:val="center"/>
          </w:tcPr>
          <w:p>
            <w:pPr>
              <w:pStyle w:val="Normal"/>
              <w:spacing w:before="0" w:after="160"/>
              <w:jc w:val="center"/>
              <w:rPr>
                <w:rFonts w:ascii="Arial" w:hAnsi="Arial"/>
                <w:sz w:val="22"/>
                <w:szCs w:val="22"/>
              </w:rPr>
            </w:pPr>
            <w:r>
              <w:rPr>
                <w:b w:val="false"/>
                <w:bCs w:val="false"/>
                <w:i w:val="false"/>
                <w:strike w:val="false"/>
                <w:dstrike w:val="false"/>
                <w:outline w:val="false"/>
                <w:shadow w:val="false"/>
                <w:color w:val="000000"/>
                <w:kern w:val="2"/>
                <w:sz w:val="22"/>
                <w:szCs w:val="22"/>
                <w:u w:val="none"/>
                <w:em w:val="none"/>
              </w:rPr>
              <w:t>Sv</w:t>
            </w:r>
          </w:p>
        </w:tc>
        <w:tc>
          <w:tcPr>
            <w:tcW w:w="85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73" w:type="dxa"/>
            </w:tcMar>
            <w:vAlign w:val="center"/>
          </w:tcPr>
          <w:p>
            <w:pPr>
              <w:pStyle w:val="Normal"/>
              <w:spacing w:before="0" w:after="160"/>
              <w:jc w:val="center"/>
              <w:rPr>
                <w:rFonts w:ascii="Arial" w:hAnsi="Arial"/>
                <w:sz w:val="22"/>
                <w:szCs w:val="22"/>
              </w:rPr>
            </w:pPr>
            <w:r>
              <w:rPr>
                <w:b w:val="false"/>
                <w:bCs w:val="false"/>
                <w:color w:val="000000"/>
                <w:sz w:val="22"/>
                <w:szCs w:val="22"/>
              </w:rPr>
              <w:t>1</w:t>
            </w:r>
          </w:p>
        </w:tc>
        <w:tc>
          <w:tcPr>
            <w:tcW w:w="14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73" w:type="dxa"/>
            </w:tcMar>
            <w:vAlign w:val="center"/>
          </w:tcPr>
          <w:p>
            <w:pPr>
              <w:pStyle w:val="Normal"/>
              <w:spacing w:lineRule="auto" w:line="360" w:before="57" w:after="57"/>
              <w:jc w:val="center"/>
              <w:rPr>
                <w:rFonts w:ascii="Arial" w:hAnsi="Arial"/>
                <w:sz w:val="22"/>
                <w:szCs w:val="22"/>
              </w:rPr>
            </w:pPr>
            <w:r>
              <w:rPr>
                <w:rFonts w:cs="Calibri"/>
                <w:b w:val="false"/>
                <w:bCs w:val="false"/>
                <w:sz w:val="22"/>
                <w:szCs w:val="22"/>
              </w:rPr>
              <w:t xml:space="preserve">R$ </w:t>
            </w:r>
            <w:r>
              <w:rPr>
                <w:rFonts w:cs="Calibri"/>
                <w:b w:val="false"/>
                <w:bCs w:val="false"/>
                <w:i w:val="false"/>
                <w:strike w:val="false"/>
                <w:dstrike w:val="false"/>
                <w:outline w:val="false"/>
                <w:shadow w:val="false"/>
                <w:color w:val="000000"/>
                <w:sz w:val="22"/>
                <w:szCs w:val="22"/>
                <w:u w:val="none"/>
                <w:em w:val="none"/>
              </w:rPr>
              <w:t>9.666,67</w:t>
            </w:r>
          </w:p>
        </w:tc>
        <w:tc>
          <w:tcPr>
            <w:tcW w:w="198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73" w:type="dxa"/>
            </w:tcMar>
            <w:vAlign w:val="center"/>
          </w:tcPr>
          <w:p>
            <w:pPr>
              <w:pStyle w:val="Normal"/>
              <w:widowControl w:val="false"/>
              <w:suppressAutoHyphens w:val="true"/>
              <w:spacing w:lineRule="auto" w:line="276" w:before="0" w:after="120"/>
              <w:jc w:val="both"/>
              <w:rPr>
                <w:rFonts w:ascii="Arial" w:hAnsi="Arial" w:cs="Arial"/>
                <w:color w:val="000000"/>
                <w:sz w:val="20"/>
                <w:szCs w:val="20"/>
              </w:rPr>
            </w:pPr>
            <w:r>
              <w:rPr>
                <w:rFonts w:cs="Arial"/>
                <w:color w:val="000000"/>
                <w:sz w:val="22"/>
                <w:szCs w:val="22"/>
              </w:rPr>
              <w:t>Rua Forte de São Pedro, SN, Campo Grande, Salvador-BA.</w:t>
            </w:r>
          </w:p>
          <w:p>
            <w:pPr>
              <w:pStyle w:val="Normal"/>
              <w:widowControl w:val="false"/>
              <w:suppressAutoHyphens w:val="true"/>
              <w:spacing w:lineRule="auto" w:line="276" w:before="0" w:after="120"/>
              <w:jc w:val="both"/>
              <w:rPr>
                <w:rFonts w:ascii="Arial" w:hAnsi="Arial" w:cs="Arial"/>
                <w:color w:val="000000"/>
                <w:sz w:val="20"/>
                <w:szCs w:val="20"/>
              </w:rPr>
            </w:pPr>
            <w:r>
              <w:rPr>
                <w:rFonts w:cs="Arial"/>
                <w:color w:val="000000"/>
                <w:sz w:val="22"/>
                <w:szCs w:val="22"/>
              </w:rPr>
              <w:t>CEP: 40060.080</w:t>
            </w:r>
          </w:p>
        </w:tc>
        <w:tc>
          <w:tcPr>
            <w:tcW w:w="167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73" w:type="dxa"/>
            </w:tcMar>
            <w:vAlign w:val="center"/>
          </w:tcPr>
          <w:p>
            <w:pPr>
              <w:pStyle w:val="Normal"/>
              <w:widowControl w:val="false"/>
              <w:suppressAutoHyphens w:val="true"/>
              <w:spacing w:lineRule="auto" w:line="276" w:before="0" w:after="120"/>
              <w:jc w:val="center"/>
              <w:rPr>
                <w:rFonts w:ascii="Arial" w:hAnsi="Arial" w:cs="Arial"/>
                <w:color w:val="000000"/>
                <w:sz w:val="20"/>
                <w:szCs w:val="20"/>
              </w:rPr>
            </w:pPr>
            <w:r>
              <w:rPr>
                <w:rFonts w:cs="Arial"/>
                <w:color w:val="000000"/>
                <w:sz w:val="22"/>
                <w:szCs w:val="22"/>
              </w:rPr>
              <w:t>30 dias</w:t>
            </w:r>
          </w:p>
        </w:tc>
      </w:tr>
    </w:tbl>
    <w:p>
      <w:pPr>
        <w:pStyle w:val="PADRO"/>
        <w:keepNext w:val="true"/>
        <w:widowControl/>
        <w:numPr>
          <w:ilvl w:val="0"/>
          <w:numId w:val="0"/>
        </w:numPr>
        <w:shd w:val="clear" w:color="auto" w:fill="auto"/>
        <w:bidi w:val="0"/>
        <w:spacing w:lineRule="auto" w:line="276" w:before="120" w:after="120"/>
        <w:ind w:left="2358" w:right="0" w:hanging="0"/>
        <w:jc w:val="both"/>
        <w:textAlignment w:val="baseline"/>
        <w:rPr>
          <w:rFonts w:ascii="Arial" w:hAnsi="Arial"/>
          <w:sz w:val="22"/>
          <w:szCs w:val="22"/>
        </w:rPr>
      </w:pPr>
      <w:r>
        <w:rPr>
          <w:rFonts w:cs="Arial" w:ascii="Arial" w:hAnsi="Arial"/>
          <w:b/>
          <w:bCs/>
          <w:sz w:val="22"/>
          <w:szCs w:val="22"/>
        </w:rPr>
        <w:t xml:space="preserve">1.2.1. </w:t>
      </w:r>
      <w:r>
        <w:rPr>
          <w:rFonts w:cs="Arial" w:ascii="Arial" w:hAnsi="Arial"/>
          <w:sz w:val="22"/>
          <w:szCs w:val="22"/>
        </w:rPr>
        <w:t>Havendo mais de item ou lote faculta-se ao fornecedor a participação em quantos forem de seu interesse. Entretanto, optando-se por participar de um lote, deve o fornecedor enviar proposta para todos os itens que o compõem.</w:t>
      </w:r>
    </w:p>
    <w:p>
      <w:pPr>
        <w:pStyle w:val="PADRO"/>
        <w:keepNext w:val="true"/>
        <w:widowControl/>
        <w:numPr>
          <w:ilvl w:val="1"/>
          <w:numId w:val="1"/>
        </w:numPr>
        <w:shd w:val="clear" w:color="auto" w:fill="auto"/>
        <w:spacing w:before="120" w:after="120"/>
        <w:rPr>
          <w:rFonts w:ascii="Arial" w:hAnsi="Arial"/>
          <w:sz w:val="22"/>
          <w:szCs w:val="22"/>
        </w:rPr>
      </w:pPr>
      <w:r>
        <w:rPr>
          <w:rFonts w:cs="Arial" w:ascii="Arial" w:hAnsi="Arial"/>
          <w:i w:val="false"/>
          <w:iCs w:val="false"/>
          <w:color w:val="000000"/>
          <w:sz w:val="22"/>
          <w:szCs w:val="22"/>
        </w:rPr>
        <w:t>O critério de julgamento adotado será o menor preço, observadas as exigências contidas neste Aviso de Contratação Direta e seus Anexos quanto às especificações do objeto.</w:t>
      </w:r>
      <w:r>
        <w:br w:type="page"/>
      </w:r>
    </w:p>
    <w:p>
      <w:pPr>
        <w:pStyle w:val="Ttulo1"/>
        <w:numPr>
          <w:ilvl w:val="0"/>
          <w:numId w:val="1"/>
        </w:numPr>
        <w:rPr>
          <w:b/>
          <w:b/>
          <w:bCs/>
        </w:rPr>
      </w:pPr>
      <w:bookmarkStart w:id="4" w:name="_Toc104906819"/>
      <w:bookmarkEnd w:id="4"/>
      <w:r>
        <w:rPr>
          <w:rFonts w:cs="Arial" w:ascii="Arial" w:hAnsi="Arial"/>
          <w:b/>
          <w:bCs/>
          <w:color w:val="00000A"/>
          <w:sz w:val="22"/>
          <w:szCs w:val="22"/>
        </w:rPr>
        <w:t>PARTICIPAÇÃO NA DISPENSA ELETRÔNICA.</w:t>
      </w:r>
    </w:p>
    <w:p>
      <w:pPr>
        <w:pStyle w:val="Normal"/>
        <w:numPr>
          <w:ilvl w:val="1"/>
          <w:numId w:val="1"/>
        </w:numPr>
        <w:snapToGrid w:val="false"/>
        <w:spacing w:lineRule="auto" w:line="276" w:before="120" w:after="120"/>
        <w:ind w:left="857" w:hanging="432"/>
        <w:jc w:val="both"/>
        <w:rPr>
          <w:rFonts w:cs="Arial"/>
          <w:sz w:val="24"/>
        </w:rPr>
      </w:pPr>
      <w:r>
        <w:rPr>
          <w:rFonts w:cs="Arial"/>
          <w:sz w:val="22"/>
          <w:szCs w:val="22"/>
        </w:rPr>
        <w:t xml:space="preserve">A participação na presente dispensa eletrônica se dará mediante </w:t>
      </w:r>
      <w:r>
        <w:rPr>
          <w:rFonts w:cs="Arial"/>
          <w:bCs/>
          <w:sz w:val="22"/>
          <w:szCs w:val="22"/>
        </w:rPr>
        <w:t>Sistema de Dispensa Eletrônica</w:t>
      </w:r>
      <w:r>
        <w:rPr>
          <w:rFonts w:cs="Arial"/>
          <w:sz w:val="22"/>
          <w:szCs w:val="22"/>
        </w:rPr>
        <w:t xml:space="preserve"> integrante do Sistema de Compras do Governo Federal – Comprasnet 4.0, disponível no </w:t>
      </w:r>
      <w:r>
        <w:rPr>
          <w:rFonts w:cs="Arial"/>
          <w:bCs/>
          <w:sz w:val="22"/>
          <w:szCs w:val="22"/>
        </w:rPr>
        <w:t xml:space="preserve">endereço eletrônico </w:t>
      </w:r>
      <w:r>
        <w:rPr>
          <w:rFonts w:cs="Arial"/>
          <w:color w:val="FF0000"/>
          <w:sz w:val="22"/>
          <w:szCs w:val="22"/>
        </w:rPr>
        <w:t>...</w:t>
      </w:r>
      <w:r>
        <w:rPr>
          <w:rFonts w:cs="Arial"/>
          <w:sz w:val="22"/>
          <w:szCs w:val="22"/>
        </w:rPr>
        <w:t>.</w:t>
      </w:r>
    </w:p>
    <w:p>
      <w:pPr>
        <w:pStyle w:val="Normal"/>
        <w:numPr>
          <w:ilvl w:val="2"/>
          <w:numId w:val="1"/>
        </w:numPr>
        <w:snapToGrid w:val="false"/>
        <w:spacing w:lineRule="auto" w:line="276" w:before="120" w:after="120"/>
        <w:jc w:val="both"/>
        <w:rPr>
          <w:rFonts w:cs="Arial"/>
          <w:sz w:val="24"/>
        </w:rPr>
      </w:pPr>
      <w:r>
        <w:rPr>
          <w:rFonts w:cs="Arial"/>
          <w:sz w:val="22"/>
          <w:szCs w:val="22"/>
        </w:rPr>
        <w:t>Os fornecedores deverão atender aos procedimentos previstos no Manual do Sistema de Dispensa Eletrônica, disponível no Portal de Compras do Governo Federal, para acesso ao sistema e operacionalização.</w:t>
      </w:r>
    </w:p>
    <w:p>
      <w:pPr>
        <w:pStyle w:val="Normal"/>
        <w:numPr>
          <w:ilvl w:val="2"/>
          <w:numId w:val="1"/>
        </w:numPr>
        <w:snapToGrid w:val="false"/>
        <w:spacing w:lineRule="auto" w:line="276" w:before="120" w:after="120"/>
        <w:jc w:val="both"/>
        <w:rPr>
          <w:rFonts w:cs="Arial"/>
          <w:sz w:val="24"/>
        </w:rPr>
      </w:pPr>
      <w:r>
        <w:rPr>
          <w:rFonts w:cs="Arial"/>
          <w:sz w:val="22"/>
          <w:szCs w:val="22"/>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1"/>
        </w:numPr>
        <w:spacing w:lineRule="auto" w:line="276" w:before="120" w:after="120"/>
        <w:ind w:left="425" w:hanging="0"/>
        <w:jc w:val="both"/>
        <w:rPr>
          <w:rFonts w:cs="Arial"/>
          <w:color w:val="000000" w:themeColor="text1"/>
          <w:sz w:val="24"/>
        </w:rPr>
      </w:pPr>
      <w:r>
        <w:rPr>
          <w:rFonts w:cs="Arial"/>
          <w:color w:val="000000" w:themeColor="text1"/>
          <w:sz w:val="22"/>
          <w:szCs w:val="22"/>
        </w:rPr>
        <w:t>Não poderão participar desta dispensa os fornecedores:</w:t>
      </w:r>
    </w:p>
    <w:p>
      <w:pPr>
        <w:pStyle w:val="Normal"/>
        <w:numPr>
          <w:ilvl w:val="2"/>
          <w:numId w:val="1"/>
        </w:numPr>
        <w:spacing w:lineRule="auto" w:line="276" w:before="120" w:after="120"/>
        <w:jc w:val="both"/>
        <w:rPr>
          <w:rFonts w:cs="Arial"/>
          <w:color w:val="000000" w:themeColor="text1"/>
          <w:sz w:val="24"/>
        </w:rPr>
      </w:pPr>
      <w:r>
        <w:rPr>
          <w:rFonts w:cs="Arial"/>
          <w:color w:val="000000" w:themeColor="text1"/>
          <w:sz w:val="22"/>
          <w:szCs w:val="22"/>
        </w:rPr>
        <w:t>que não atendam às condições deste Aviso de Contratação Direta e seu(s) anexo(s);</w:t>
      </w:r>
    </w:p>
    <w:p>
      <w:pPr>
        <w:pStyle w:val="Normal"/>
        <w:numPr>
          <w:ilvl w:val="2"/>
          <w:numId w:val="1"/>
        </w:numPr>
        <w:spacing w:lineRule="auto" w:line="276" w:before="120" w:after="120"/>
        <w:jc w:val="both"/>
        <w:rPr>
          <w:rFonts w:cs="Arial"/>
          <w:color w:val="000000" w:themeColor="text1"/>
          <w:sz w:val="24"/>
        </w:rPr>
      </w:pPr>
      <w:r>
        <w:rPr>
          <w:rFonts w:cs="Arial"/>
          <w:color w:val="000000" w:themeColor="text1"/>
          <w:sz w:val="22"/>
          <w:szCs w:val="22"/>
        </w:rPr>
        <w:t>estrangeiros que não tenham representação legal no Brasil com poderes expressos para receber citação e responder administrativa ou judicialmente;</w:t>
      </w:r>
    </w:p>
    <w:p>
      <w:pPr>
        <w:pStyle w:val="Normal"/>
        <w:numPr>
          <w:ilvl w:val="2"/>
          <w:numId w:val="1"/>
        </w:numPr>
        <w:spacing w:lineRule="auto" w:line="276" w:before="120" w:after="120"/>
        <w:jc w:val="both"/>
        <w:rPr>
          <w:rFonts w:cs="Arial"/>
          <w:color w:val="000000" w:themeColor="text1"/>
          <w:sz w:val="24"/>
        </w:rPr>
      </w:pPr>
      <w:r>
        <w:rPr>
          <w:rFonts w:cs="Arial"/>
          <w:color w:val="000000" w:themeColor="text1"/>
          <w:sz w:val="22"/>
          <w:szCs w:val="22"/>
        </w:rPr>
        <w:t>que se enquadrem nas seguintes vedações:</w:t>
      </w:r>
    </w:p>
    <w:p>
      <w:pPr>
        <w:pStyle w:val="Normal"/>
        <w:numPr>
          <w:ilvl w:val="3"/>
          <w:numId w:val="4"/>
        </w:numPr>
        <w:spacing w:lineRule="auto" w:line="276" w:before="120" w:after="120"/>
        <w:jc w:val="both"/>
        <w:rPr>
          <w:rFonts w:cs="Arial"/>
          <w:color w:val="000000" w:themeColor="text1"/>
          <w:sz w:val="24"/>
        </w:rPr>
      </w:pPr>
      <w:r>
        <w:rPr>
          <w:rFonts w:cs="Arial"/>
          <w:color w:val="000000"/>
          <w:sz w:val="22"/>
          <w:szCs w:val="22"/>
        </w:rPr>
        <w:t>autor do anteprojeto, do projeto básico ou do projeto executivo, pessoa física ou jurídica, quando a contratação versar sobre obra, serviços ou fornecimento de bens a ele relacionados;</w:t>
      </w:r>
    </w:p>
    <w:p>
      <w:pPr>
        <w:pStyle w:val="Normal"/>
        <w:numPr>
          <w:ilvl w:val="3"/>
          <w:numId w:val="4"/>
        </w:numPr>
        <w:spacing w:lineRule="auto" w:line="276" w:before="120" w:after="120"/>
        <w:jc w:val="both"/>
        <w:rPr>
          <w:rFonts w:cs="Arial"/>
          <w:color w:val="000000" w:themeColor="text1"/>
          <w:sz w:val="24"/>
        </w:rPr>
      </w:pPr>
      <w:r>
        <w:rPr>
          <w:rFonts w:cs="Arial"/>
          <w:color w:val="000000"/>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4"/>
        </w:numPr>
        <w:spacing w:lineRule="auto" w:line="276" w:before="120" w:after="120"/>
        <w:jc w:val="both"/>
        <w:rPr>
          <w:rFonts w:cs="Arial"/>
          <w:color w:val="000000" w:themeColor="text1"/>
          <w:sz w:val="24"/>
        </w:rPr>
      </w:pPr>
      <w:r>
        <w:rPr>
          <w:rFonts w:cs="Arial"/>
          <w:color w:val="000000"/>
          <w:sz w:val="22"/>
          <w:szCs w:val="22"/>
        </w:rPr>
        <w:t>pessoa física ou jurídica que se encontre, ao tempo da contratação, impossibilitada de contratar em decorrência de sanção que lhe foi imposta;</w:t>
      </w:r>
    </w:p>
    <w:p>
      <w:pPr>
        <w:pStyle w:val="Normal"/>
        <w:numPr>
          <w:ilvl w:val="3"/>
          <w:numId w:val="4"/>
        </w:numPr>
        <w:spacing w:lineRule="auto" w:line="276" w:before="120" w:after="120"/>
        <w:jc w:val="both"/>
        <w:rPr>
          <w:rFonts w:cs="Arial"/>
          <w:color w:val="000000" w:themeColor="text1"/>
          <w:sz w:val="24"/>
        </w:rPr>
      </w:pPr>
      <w:r>
        <w:rPr>
          <w:rFonts w:cs="Arial"/>
          <w:color w:val="000000"/>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4"/>
        </w:numPr>
        <w:spacing w:lineRule="auto" w:line="276" w:before="120" w:after="120"/>
        <w:jc w:val="both"/>
        <w:rPr/>
      </w:pPr>
      <w:r>
        <w:rPr>
          <w:rFonts w:cs="Arial"/>
          <w:color w:val="000000"/>
          <w:sz w:val="22"/>
          <w:szCs w:val="22"/>
        </w:rPr>
        <w:t>empresas controladoras, controladas ou coligadas, nos termos da </w:t>
      </w:r>
      <w:hyperlink r:id="rId3">
        <w:r>
          <w:rPr>
            <w:rStyle w:val="LinkdaInternet"/>
            <w:rFonts w:eastAsia="Calibri" w:cs="Arial"/>
            <w:vanish/>
            <w:sz w:val="22"/>
            <w:szCs w:val="22"/>
          </w:rPr>
          <w:t>Lei nº 6.404, de 15 de dezembro de 1976</w:t>
        </w:r>
      </w:hyperlink>
      <w:r>
        <w:rPr>
          <w:rFonts w:cs="Arial"/>
          <w:color w:val="000000"/>
          <w:sz w:val="22"/>
          <w:szCs w:val="22"/>
        </w:rPr>
        <w:t>, concorrendo entre si;</w:t>
      </w:r>
    </w:p>
    <w:p>
      <w:pPr>
        <w:pStyle w:val="Normal"/>
        <w:numPr>
          <w:ilvl w:val="3"/>
          <w:numId w:val="4"/>
        </w:numPr>
        <w:spacing w:lineRule="auto" w:line="276" w:before="120" w:after="120"/>
        <w:jc w:val="both"/>
        <w:rPr>
          <w:rFonts w:cs="Arial"/>
          <w:color w:val="000000" w:themeColor="text1"/>
          <w:sz w:val="24"/>
        </w:rPr>
      </w:pPr>
      <w:r>
        <w:rPr>
          <w:rFonts w:cs="Arial"/>
          <w:color w:val="000000"/>
          <w:sz w:val="22"/>
          <w:szCs w:val="22"/>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76" w:before="120" w:after="120"/>
        <w:jc w:val="both"/>
        <w:rPr>
          <w:rFonts w:cs="Arial"/>
          <w:color w:val="000000" w:themeColor="text1"/>
          <w:sz w:val="24"/>
        </w:rPr>
      </w:pPr>
      <w:r>
        <w:rPr>
          <w:rFonts w:cs="Arial"/>
          <w:color w:val="000000"/>
          <w:sz w:val="22"/>
          <w:szCs w:val="22"/>
        </w:rPr>
        <w:t>Equiparam-se aos autores do projeto as empresas integrantes do mesmo grupo econômico;</w:t>
      </w:r>
    </w:p>
    <w:p>
      <w:pPr>
        <w:pStyle w:val="Normal"/>
        <w:numPr>
          <w:ilvl w:val="3"/>
          <w:numId w:val="1"/>
        </w:numPr>
        <w:spacing w:lineRule="auto" w:line="276" w:before="120" w:after="120"/>
        <w:jc w:val="both"/>
        <w:rPr>
          <w:rFonts w:cs="Arial"/>
          <w:color w:val="000000" w:themeColor="text1"/>
          <w:sz w:val="24"/>
        </w:rPr>
      </w:pPr>
      <w:r>
        <w:rPr>
          <w:rFonts w:cs="Arial"/>
          <w:color w:val="000000"/>
          <w:sz w:val="22"/>
          <w:szCs w:val="22"/>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1"/>
        </w:numPr>
        <w:spacing w:lineRule="auto" w:line="276" w:before="120" w:after="120"/>
        <w:jc w:val="both"/>
        <w:rPr>
          <w:rFonts w:ascii="Arial" w:hAnsi="Arial"/>
          <w:sz w:val="22"/>
          <w:szCs w:val="22"/>
        </w:rPr>
      </w:pPr>
      <w:r>
        <w:rPr>
          <w:rFonts w:cs="Arial"/>
          <w:color w:val="000000"/>
          <w:sz w:val="22"/>
          <w:szCs w:val="22"/>
        </w:rPr>
        <w:t>organizações da Sociedade Civil de Interesse Público - OSCIP, atuando nessa condição (Acórdão nº 746/2014-TCU-Plenário); e</w:t>
      </w:r>
    </w:p>
    <w:p>
      <w:pPr>
        <w:pStyle w:val="Ttulo1"/>
        <w:numPr>
          <w:ilvl w:val="0"/>
          <w:numId w:val="1"/>
        </w:numPr>
        <w:rPr>
          <w:rFonts w:ascii="Arial" w:hAnsi="Arial" w:cs="Arial"/>
          <w:color w:val="00000A"/>
          <w:sz w:val="24"/>
          <w:szCs w:val="24"/>
        </w:rPr>
      </w:pPr>
      <w:bookmarkStart w:id="5" w:name="_Toc104906820"/>
      <w:bookmarkEnd w:id="5"/>
      <w:r>
        <w:rPr>
          <w:rFonts w:cs="Arial" w:ascii="Arial" w:hAnsi="Arial"/>
          <w:b/>
          <w:bCs/>
          <w:color w:val="00000A"/>
          <w:sz w:val="22"/>
          <w:szCs w:val="22"/>
        </w:rPr>
        <w:t>INGRESSO NA DISPENSA ELETRÔNICA E CADASTRAMENTO DA PROPOSTA INICIAL</w:t>
      </w:r>
    </w:p>
    <w:p>
      <w:pPr>
        <w:pStyle w:val="Normal"/>
        <w:numPr>
          <w:ilvl w:val="1"/>
          <w:numId w:val="1"/>
        </w:numPr>
        <w:snapToGrid w:val="false"/>
        <w:spacing w:lineRule="auto" w:line="276" w:before="120" w:after="120"/>
        <w:ind w:left="857" w:hanging="432"/>
        <w:jc w:val="both"/>
        <w:rPr>
          <w:rFonts w:cs="Arial"/>
          <w:sz w:val="24"/>
        </w:rPr>
      </w:pPr>
      <w:r>
        <w:rPr>
          <w:rFonts w:cs="Arial"/>
          <w:color w:val="000000" w:themeColor="text1"/>
          <w:sz w:val="22"/>
          <w:szCs w:val="22"/>
        </w:rPr>
        <w:t>O ingresso do fornecedor na disputa da dispensa eletrônica se dará com o cadastramento de sua proposta inicial, na forma deste item.</w:t>
      </w:r>
    </w:p>
    <w:p>
      <w:pPr>
        <w:pStyle w:val="Normal"/>
        <w:numPr>
          <w:ilvl w:val="1"/>
          <w:numId w:val="1"/>
        </w:numPr>
        <w:snapToGrid w:val="false"/>
        <w:spacing w:lineRule="auto" w:line="276" w:before="120" w:after="120"/>
        <w:ind w:left="425" w:hanging="0"/>
        <w:jc w:val="both"/>
        <w:rPr>
          <w:rFonts w:cs="Arial"/>
          <w:color w:val="000000" w:themeColor="text1"/>
          <w:sz w:val="24"/>
        </w:rPr>
      </w:pPr>
      <w:r>
        <w:rPr>
          <w:rFonts w:cs="Arial"/>
          <w:color w:val="000000" w:themeColor="text1"/>
          <w:sz w:val="22"/>
          <w:szCs w:val="22"/>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1"/>
        </w:numPr>
        <w:spacing w:lineRule="auto" w:line="276" w:before="120" w:after="120"/>
        <w:jc w:val="both"/>
        <w:rPr>
          <w:rFonts w:cs="Arial"/>
          <w:sz w:val="24"/>
        </w:rPr>
      </w:pPr>
      <w:r>
        <w:rPr>
          <w:rFonts w:cs="Arial"/>
          <w:sz w:val="22"/>
          <w:szCs w:val="22"/>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1"/>
        </w:numPr>
        <w:spacing w:lineRule="auto" w:line="276" w:before="120" w:after="120"/>
        <w:ind w:left="425" w:hanging="0"/>
        <w:jc w:val="both"/>
        <w:rPr>
          <w:rFonts w:cs="Arial"/>
          <w:sz w:val="24"/>
        </w:rPr>
      </w:pPr>
      <w:r>
        <w:rPr>
          <w:rFonts w:cs="Arial"/>
          <w:sz w:val="22"/>
          <w:szCs w:val="22"/>
        </w:rPr>
        <w:t xml:space="preserve">Todas as especificações do </w:t>
      </w:r>
      <w:r>
        <w:rPr>
          <w:rFonts w:cs="Arial"/>
          <w:color w:val="000000" w:themeColor="text1"/>
          <w:sz w:val="22"/>
          <w:szCs w:val="22"/>
        </w:rPr>
        <w:t>objeto</w:t>
      </w:r>
      <w:r>
        <w:rPr>
          <w:rFonts w:cs="Arial"/>
          <w:sz w:val="22"/>
          <w:szCs w:val="22"/>
        </w:rPr>
        <w:t xml:space="preserve"> contidas na proposta, em especial o preço, vinculam a Contratada.</w:t>
      </w:r>
    </w:p>
    <w:p>
      <w:pPr>
        <w:pStyle w:val="Normal"/>
        <w:numPr>
          <w:ilvl w:val="1"/>
          <w:numId w:val="1"/>
        </w:numPr>
        <w:spacing w:lineRule="auto" w:line="276" w:before="120" w:after="120"/>
        <w:ind w:left="425" w:hanging="0"/>
        <w:jc w:val="both"/>
        <w:rPr>
          <w:rFonts w:cs="Arial"/>
          <w:sz w:val="24"/>
        </w:rPr>
      </w:pPr>
      <w:r>
        <w:rPr>
          <w:rFonts w:cs="Arial"/>
          <w:sz w:val="22"/>
          <w:szCs w:val="22"/>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1"/>
        </w:numPr>
        <w:spacing w:lineRule="auto" w:line="276" w:before="120" w:after="120"/>
        <w:jc w:val="both"/>
        <w:rPr>
          <w:rFonts w:cs="Arial"/>
          <w:sz w:val="24"/>
        </w:rPr>
      </w:pPr>
      <w:r>
        <w:rPr>
          <w:rFonts w:cs="Arial"/>
          <w:sz w:val="22"/>
          <w:szCs w:val="22"/>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spacing w:lineRule="auto" w:line="276" w:before="120" w:after="120"/>
        <w:ind w:left="425" w:hanging="0"/>
        <w:jc w:val="both"/>
        <w:rPr>
          <w:rFonts w:cs="Arial"/>
          <w:sz w:val="24"/>
        </w:rPr>
      </w:pPr>
      <w:r>
        <w:rPr>
          <w:rFonts w:cs="Arial"/>
          <w:sz w:val="22"/>
          <w:szCs w:val="22"/>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1"/>
        </w:numPr>
        <w:spacing w:lineRule="auto" w:line="276" w:before="120" w:after="120"/>
        <w:ind w:left="425" w:hanging="0"/>
        <w:jc w:val="both"/>
        <w:rPr>
          <w:rFonts w:cs="Arial"/>
          <w:sz w:val="24"/>
        </w:rPr>
      </w:pPr>
      <w:r>
        <w:rPr>
          <w:rFonts w:cs="Arial"/>
          <w:sz w:val="22"/>
          <w:szCs w:val="22"/>
        </w:rPr>
        <w:t>Independentemente do percentual de tributo inserido na planilha, no pagamento serão retidos na fonte os percentuais estabelecidos na legislação vigente.</w:t>
      </w:r>
    </w:p>
    <w:p>
      <w:pPr>
        <w:pStyle w:val="Normal"/>
        <w:numPr>
          <w:ilvl w:val="1"/>
          <w:numId w:val="1"/>
        </w:numPr>
        <w:spacing w:lineRule="auto" w:line="276" w:before="120" w:after="120"/>
        <w:ind w:left="425" w:hanging="0"/>
        <w:jc w:val="both"/>
        <w:rPr>
          <w:i w:val="false"/>
          <w:i w:val="false"/>
          <w:iCs w:val="false"/>
          <w:color w:val="000000"/>
        </w:rPr>
      </w:pPr>
      <w:r>
        <w:rPr>
          <w:rFonts w:cs="Arial"/>
          <w:i w:val="false"/>
          <w:iCs w:val="false"/>
          <w:color w:val="000000"/>
          <w:sz w:val="22"/>
          <w:szCs w:val="22"/>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spacing w:lineRule="auto" w:line="276" w:before="120" w:after="120"/>
        <w:ind w:left="425" w:hanging="0"/>
        <w:jc w:val="both"/>
        <w:rPr>
          <w:rFonts w:cs="Arial"/>
          <w:color w:val="000000" w:themeColor="text1"/>
          <w:sz w:val="24"/>
        </w:rPr>
      </w:pPr>
      <w:r>
        <w:rPr>
          <w:rFonts w:cs="Arial"/>
          <w:sz w:val="22"/>
          <w:szCs w:val="22"/>
        </w:rPr>
        <w:t xml:space="preserve">Uma vez enviada a proposta no sistema, os fornecedores </w:t>
      </w:r>
      <w:r>
        <w:rPr>
          <w:rFonts w:cs="Arial"/>
          <w:b/>
          <w:bCs/>
          <w:sz w:val="22"/>
          <w:szCs w:val="22"/>
        </w:rPr>
        <w:t>NÃO</w:t>
      </w:r>
      <w:r>
        <w:rPr>
          <w:rFonts w:cs="Arial"/>
          <w:sz w:val="22"/>
          <w:szCs w:val="22"/>
        </w:rPr>
        <w:t xml:space="preserve"> poderão retirá-la, substituí-la ou modificá-la</w:t>
      </w:r>
      <w:r>
        <w:rPr>
          <w:rFonts w:cs="Arial"/>
          <w:color w:val="000000"/>
          <w:sz w:val="22"/>
          <w:szCs w:val="22"/>
        </w:rPr>
        <w:t>;</w:t>
      </w:r>
    </w:p>
    <w:p>
      <w:pPr>
        <w:pStyle w:val="Normal"/>
        <w:numPr>
          <w:ilvl w:val="1"/>
          <w:numId w:val="1"/>
        </w:numPr>
        <w:spacing w:lineRule="auto" w:line="276" w:before="120" w:after="120"/>
        <w:ind w:left="425" w:hanging="0"/>
        <w:jc w:val="both"/>
        <w:rPr>
          <w:rFonts w:ascii="Arial" w:hAnsi="Arial"/>
          <w:sz w:val="22"/>
          <w:szCs w:val="22"/>
        </w:rPr>
      </w:pPr>
      <w:r>
        <w:rPr>
          <w:rFonts w:cs="Arial"/>
          <w:color w:val="000000"/>
          <w:sz w:val="22"/>
          <w:szCs w:val="22"/>
        </w:rPr>
        <w:t xml:space="preserve">No cadastramento da proposta inicial, o fornecedor deverá, também, assinalar “sim” ou “não” em campo </w:t>
      </w:r>
      <w:r>
        <w:rPr>
          <w:rFonts w:cs="Arial"/>
          <w:sz w:val="22"/>
          <w:szCs w:val="22"/>
        </w:rPr>
        <w:t>próprio</w:t>
      </w:r>
      <w:r>
        <w:rPr>
          <w:rFonts w:cs="Arial"/>
          <w:color w:val="000000"/>
          <w:sz w:val="22"/>
          <w:szCs w:val="22"/>
        </w:rPr>
        <w:t xml:space="preserve"> do sistema eletrônico, às seguintes declarações:</w:t>
      </w:r>
      <w:r>
        <w:rPr>
          <w:rFonts w:eastAsia="Zurich BT" w:cs="Arial"/>
          <w:color w:val="000000"/>
          <w:sz w:val="22"/>
          <w:szCs w:val="22"/>
        </w:rPr>
        <w:t xml:space="preserve"> </w:t>
      </w:r>
    </w:p>
    <w:p>
      <w:pPr>
        <w:pStyle w:val="ListParagraph"/>
        <w:numPr>
          <w:ilvl w:val="0"/>
          <w:numId w:val="2"/>
        </w:numPr>
        <w:tabs>
          <w:tab w:val="left" w:pos="1440" w:leader="none"/>
        </w:tabs>
        <w:snapToGrid w:val="false"/>
        <w:spacing w:lineRule="auto" w:line="276" w:before="120" w:after="120"/>
        <w:contextualSpacing/>
        <w:jc w:val="both"/>
        <w:rPr>
          <w:rFonts w:ascii="Arial" w:hAnsi="Arial" w:cs="Arial"/>
          <w:bCs/>
          <w:vanish/>
          <w:color w:val="000000"/>
          <w:sz w:val="22"/>
          <w:szCs w:val="22"/>
        </w:rPr>
      </w:pPr>
      <w:r>
        <w:rPr>
          <w:rFonts w:cs="Arial"/>
          <w:bCs/>
          <w:vanish/>
          <w:color w:val="000000"/>
          <w:sz w:val="22"/>
          <w:szCs w:val="22"/>
        </w:rPr>
      </w:r>
    </w:p>
    <w:p>
      <w:pPr>
        <w:pStyle w:val="ListParagraph"/>
        <w:numPr>
          <w:ilvl w:val="1"/>
          <w:numId w:val="2"/>
        </w:numPr>
        <w:tabs>
          <w:tab w:val="left" w:pos="1440" w:leader="none"/>
        </w:tabs>
        <w:snapToGrid w:val="false"/>
        <w:spacing w:lineRule="auto" w:line="276" w:before="120" w:after="120"/>
        <w:contextualSpacing/>
        <w:jc w:val="both"/>
        <w:rPr>
          <w:rFonts w:ascii="Arial" w:hAnsi="Arial" w:cs="Arial"/>
          <w:bCs/>
          <w:vanish/>
          <w:color w:val="000000"/>
          <w:sz w:val="22"/>
          <w:szCs w:val="22"/>
        </w:rPr>
      </w:pPr>
      <w:r>
        <w:rPr>
          <w:rFonts w:cs="Arial"/>
          <w:bCs/>
          <w:vanish/>
          <w:color w:val="000000"/>
          <w:sz w:val="22"/>
          <w:szCs w:val="22"/>
        </w:rPr>
      </w:r>
    </w:p>
    <w:p>
      <w:pPr>
        <w:pStyle w:val="ListParagraph"/>
        <w:numPr>
          <w:ilvl w:val="1"/>
          <w:numId w:val="2"/>
        </w:numPr>
        <w:tabs>
          <w:tab w:val="left" w:pos="1440" w:leader="none"/>
        </w:tabs>
        <w:snapToGrid w:val="false"/>
        <w:spacing w:lineRule="auto" w:line="276" w:before="120" w:after="120"/>
        <w:contextualSpacing/>
        <w:jc w:val="both"/>
        <w:rPr>
          <w:rFonts w:ascii="Arial" w:hAnsi="Arial" w:cs="Arial"/>
          <w:bCs/>
          <w:vanish/>
          <w:color w:val="000000"/>
          <w:sz w:val="22"/>
          <w:szCs w:val="22"/>
        </w:rPr>
      </w:pPr>
      <w:r>
        <w:rPr>
          <w:rFonts w:cs="Arial"/>
          <w:bCs/>
          <w:vanish/>
          <w:color w:val="000000"/>
          <w:sz w:val="22"/>
          <w:szCs w:val="22"/>
        </w:rPr>
      </w:r>
    </w:p>
    <w:p>
      <w:pPr>
        <w:pStyle w:val="ListParagraph"/>
        <w:numPr>
          <w:ilvl w:val="1"/>
          <w:numId w:val="2"/>
        </w:numPr>
        <w:tabs>
          <w:tab w:val="left" w:pos="1440" w:leader="none"/>
        </w:tabs>
        <w:snapToGrid w:val="false"/>
        <w:spacing w:lineRule="auto" w:line="276" w:before="120" w:after="120"/>
        <w:contextualSpacing/>
        <w:jc w:val="both"/>
        <w:rPr>
          <w:rFonts w:ascii="Arial" w:hAnsi="Arial" w:cs="Arial"/>
          <w:bCs/>
          <w:vanish/>
          <w:color w:val="000000"/>
          <w:sz w:val="22"/>
          <w:szCs w:val="22"/>
        </w:rPr>
      </w:pPr>
      <w:r>
        <w:rPr>
          <w:rFonts w:cs="Arial"/>
          <w:bCs/>
          <w:vanish/>
          <w:color w:val="000000"/>
          <w:sz w:val="22"/>
          <w:szCs w:val="22"/>
        </w:rPr>
      </w:r>
    </w:p>
    <w:p>
      <w:pPr>
        <w:pStyle w:val="Normal"/>
        <w:numPr>
          <w:ilvl w:val="2"/>
          <w:numId w:val="1"/>
        </w:numPr>
        <w:spacing w:lineRule="auto" w:line="276" w:before="120" w:after="120"/>
        <w:jc w:val="both"/>
        <w:rPr>
          <w:rFonts w:cs="Arial"/>
          <w:color w:val="000000" w:themeColor="text1"/>
          <w:sz w:val="24"/>
        </w:rPr>
      </w:pPr>
      <w:r>
        <w:rPr>
          <w:rFonts w:cs="Arial"/>
          <w:color w:val="000000" w:themeColor="text1"/>
          <w:sz w:val="22"/>
          <w:szCs w:val="22"/>
        </w:rPr>
        <w:t>que inexistem fatos impeditivos para sua habilitação no certame, ciente da obrigatoriedade de declarar ocorrências posteriores;</w:t>
      </w:r>
    </w:p>
    <w:p>
      <w:pPr>
        <w:pStyle w:val="Normal"/>
        <w:numPr>
          <w:ilvl w:val="2"/>
          <w:numId w:val="1"/>
        </w:numPr>
        <w:spacing w:lineRule="auto" w:line="276" w:before="120" w:after="120"/>
        <w:jc w:val="both"/>
        <w:rPr>
          <w:rFonts w:cs="Arial"/>
          <w:color w:val="000000" w:themeColor="text1"/>
          <w:sz w:val="24"/>
        </w:rPr>
      </w:pPr>
      <w:r>
        <w:rPr>
          <w:rFonts w:cs="Arial"/>
          <w:color w:val="000000" w:themeColor="text1"/>
          <w:sz w:val="22"/>
          <w:szCs w:val="22"/>
        </w:rPr>
        <w:t xml:space="preserve">que </w:t>
      </w:r>
      <w:r>
        <w:rPr>
          <w:rFonts w:cs="Arial"/>
          <w:color w:val="000000"/>
          <w:sz w:val="22"/>
          <w:szCs w:val="22"/>
        </w:rPr>
        <w:t>cumpre</w:t>
      </w:r>
      <w:r>
        <w:rPr>
          <w:rFonts w:cs="Arial"/>
          <w:color w:val="000000" w:themeColor="text1"/>
          <w:sz w:val="22"/>
          <w:szCs w:val="22"/>
        </w:rPr>
        <w:t xml:space="preserve"> os requisitos estabelecidos no artigo 3° da Lei Complementar nº 123, de 2006, estando apto a usufruir do tratamento favorecido estabelecido em seus arts. 42 a 49.</w:t>
      </w:r>
    </w:p>
    <w:p>
      <w:pPr>
        <w:pStyle w:val="Normal"/>
        <w:numPr>
          <w:ilvl w:val="2"/>
          <w:numId w:val="1"/>
        </w:numPr>
        <w:spacing w:lineRule="auto" w:line="276" w:before="120" w:after="120"/>
        <w:jc w:val="both"/>
        <w:rPr>
          <w:rFonts w:cs="Arial"/>
          <w:color w:val="000000" w:themeColor="text1"/>
          <w:sz w:val="24"/>
        </w:rPr>
      </w:pPr>
      <w:r>
        <w:rPr>
          <w:rFonts w:cs="Arial"/>
          <w:color w:val="000000" w:themeColor="text1"/>
          <w:sz w:val="22"/>
          <w:szCs w:val="22"/>
        </w:rPr>
        <w:t>que está ciente e concorda com as condições contidas no Aviso de Contratação Direta e seus anexos;</w:t>
      </w:r>
    </w:p>
    <w:p>
      <w:pPr>
        <w:pStyle w:val="Normal"/>
        <w:numPr>
          <w:ilvl w:val="2"/>
          <w:numId w:val="1"/>
        </w:numPr>
        <w:spacing w:lineRule="auto" w:line="276" w:before="120" w:after="120"/>
        <w:jc w:val="both"/>
        <w:rPr>
          <w:rFonts w:cs="Arial"/>
          <w:color w:val="000000" w:themeColor="text1"/>
          <w:sz w:val="24"/>
        </w:rPr>
      </w:pPr>
      <w:r>
        <w:rPr>
          <w:rFonts w:cs="Arial"/>
          <w:color w:val="000000" w:themeColor="text1"/>
          <w:sz w:val="22"/>
          <w:szCs w:val="22"/>
        </w:rPr>
        <w:t>que assume a responsabilidade pelas transações que forem efetuadas no sistema, assumindo como firmes e verdadeiras;</w:t>
      </w:r>
    </w:p>
    <w:p>
      <w:pPr>
        <w:pStyle w:val="Normal"/>
        <w:numPr>
          <w:ilvl w:val="2"/>
          <w:numId w:val="1"/>
        </w:numPr>
        <w:spacing w:lineRule="auto" w:line="276" w:before="120" w:after="120"/>
        <w:jc w:val="both"/>
        <w:rPr>
          <w:rFonts w:cs="Arial"/>
          <w:color w:val="000000" w:themeColor="text1"/>
          <w:sz w:val="24"/>
        </w:rPr>
      </w:pPr>
      <w:r>
        <w:rPr>
          <w:rFonts w:cs="Arial"/>
          <w:color w:val="000000" w:themeColor="text1"/>
          <w:sz w:val="22"/>
          <w:szCs w:val="22"/>
        </w:rPr>
        <w:t>que cumpre as exigências de reserva de cargos para pessoa com deficiência e para reabilitado da Previdência Social, de que trata o art. 93 da Lei nº 8.213/91.</w:t>
      </w:r>
    </w:p>
    <w:p>
      <w:pPr>
        <w:pStyle w:val="Normal"/>
        <w:numPr>
          <w:ilvl w:val="2"/>
          <w:numId w:val="1"/>
        </w:numPr>
        <w:spacing w:lineRule="auto" w:line="276" w:before="120" w:after="120"/>
        <w:jc w:val="both"/>
        <w:rPr>
          <w:rFonts w:ascii="Arial" w:hAnsi="Arial"/>
          <w:sz w:val="22"/>
          <w:szCs w:val="22"/>
        </w:rPr>
      </w:pPr>
      <w:r>
        <w:rPr>
          <w:rFonts w:cs="Arial"/>
          <w:color w:val="000000" w:themeColor="text1"/>
          <w:sz w:val="22"/>
          <w:szCs w:val="22"/>
        </w:rPr>
        <w:t>que não emprega menor de 18 anos em trabalho noturno, perigoso ou insalubre e não emprega menor de 16 anos, salvo menor, a partir de 14 anos, na condição de aprendiz, nos termos do artigo 7°, XXXIII, da Constituição;</w:t>
      </w:r>
    </w:p>
    <w:p>
      <w:pPr>
        <w:pStyle w:val="Ttulo1"/>
        <w:numPr>
          <w:ilvl w:val="0"/>
          <w:numId w:val="1"/>
        </w:numPr>
        <w:rPr>
          <w:rFonts w:ascii="Arial" w:hAnsi="Arial" w:cs="Arial"/>
          <w:color w:val="00000A"/>
          <w:sz w:val="24"/>
          <w:szCs w:val="24"/>
        </w:rPr>
      </w:pPr>
      <w:bookmarkStart w:id="6" w:name="_Toc104906821"/>
      <w:bookmarkEnd w:id="6"/>
      <w:r>
        <w:rPr>
          <w:rFonts w:cs="Arial" w:ascii="Arial" w:hAnsi="Arial"/>
          <w:b/>
          <w:bCs/>
          <w:color w:val="00000A"/>
          <w:sz w:val="22"/>
          <w:szCs w:val="22"/>
        </w:rPr>
        <w:t>FASE DE LANCES</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2"/>
          <w:szCs w:val="22"/>
          <w:lang w:eastAsia="en-US"/>
        </w:rPr>
        <w:t xml:space="preserve">A partir das 8:00h da data estabelecida neste Aviso de Contratação Direta, a sessão pública será automaticamente aberta pelo sistema para o envio de lances públicos e sucessivos, </w:t>
      </w:r>
      <w:r>
        <w:rPr>
          <w:rFonts w:cs="Arial"/>
          <w:bCs/>
          <w:sz w:val="22"/>
          <w:szCs w:val="22"/>
          <w:lang w:eastAsia="en-US"/>
        </w:rPr>
        <w:t>exclusivamente por meio do sistema eletrônico</w:t>
      </w:r>
      <w:r>
        <w:rPr>
          <w:rFonts w:cs="Arial"/>
          <w:sz w:val="22"/>
          <w:szCs w:val="22"/>
          <w:lang w:eastAsia="en-US"/>
        </w:rPr>
        <w:t xml:space="preserve">, </w:t>
      </w:r>
      <w:r>
        <w:rPr>
          <w:rFonts w:cs="Arial"/>
          <w:color w:val="000000" w:themeColor="text1"/>
          <w:sz w:val="22"/>
          <w:szCs w:val="22"/>
          <w:lang w:eastAsia="en-US"/>
        </w:rPr>
        <w:t>sendo encerrado no horário de finalização de lances também já previsto neste aviso.</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2"/>
          <w:szCs w:val="22"/>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76" w:before="120" w:after="120"/>
        <w:contextualSpacing/>
        <w:jc w:val="both"/>
        <w:rPr>
          <w:i w:val="false"/>
          <w:i w:val="false"/>
          <w:iCs w:val="false"/>
          <w:color w:val="000000"/>
        </w:rPr>
      </w:pPr>
      <w:r>
        <w:rPr>
          <w:rFonts w:cs="Arial"/>
          <w:i w:val="false"/>
          <w:iCs w:val="false"/>
          <w:color w:val="000000"/>
          <w:sz w:val="22"/>
          <w:szCs w:val="22"/>
        </w:rPr>
        <w:t>O lance deverá ser ofertado pelo valor unitário.</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2"/>
          <w:szCs w:val="22"/>
          <w:lang w:eastAsia="en-US"/>
        </w:rPr>
        <w:t>O fornecedor somente poderá oferecer valor inferior ou maior percentual de desconto em relação ao último lance por ele ofertado e registrado pelo sistema.</w:t>
      </w:r>
    </w:p>
    <w:p>
      <w:pPr>
        <w:pStyle w:val="ListParagraph"/>
        <w:numPr>
          <w:ilvl w:val="2"/>
          <w:numId w:val="1"/>
        </w:numPr>
        <w:spacing w:lineRule="auto" w:line="276" w:before="120" w:after="120"/>
        <w:contextualSpacing/>
        <w:jc w:val="both"/>
        <w:rPr>
          <w:rFonts w:cs="Arial"/>
          <w:color w:val="000000" w:themeColor="text1"/>
          <w:sz w:val="24"/>
          <w:lang w:eastAsia="en-US"/>
        </w:rPr>
      </w:pPr>
      <w:r>
        <w:rPr>
          <w:rFonts w:cs="Arial"/>
          <w:color w:val="000000" w:themeColor="text1"/>
          <w:sz w:val="22"/>
          <w:szCs w:val="22"/>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1"/>
        </w:numPr>
        <w:spacing w:lineRule="auto" w:line="276" w:before="120" w:after="120"/>
        <w:contextualSpacing/>
        <w:jc w:val="both"/>
        <w:rPr>
          <w:i w:val="false"/>
          <w:i w:val="false"/>
          <w:iCs w:val="false"/>
          <w:color w:val="000000"/>
        </w:rPr>
      </w:pPr>
      <w:r>
        <w:rPr>
          <w:rFonts w:cs="Arial"/>
          <w:i w:val="false"/>
          <w:iCs w:val="false"/>
          <w:color w:val="000000"/>
          <w:sz w:val="22"/>
          <w:szCs w:val="22"/>
        </w:rPr>
        <w:t>O intervalo mínimo de diferença de valores ou percentuais entre os lances, que incidirá tanto em relação aos lances intermediários quanto em relação ao que cobrir a melhor oferta é de R$ 0,01 (centavo);</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2"/>
          <w:szCs w:val="22"/>
          <w:lang w:eastAsia="en-US"/>
        </w:rPr>
        <w:t>Havendo lances iguais ao menor já ofertado, prevalecerá aquele que for recebido e registrado primeiro no sistema.</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2"/>
          <w:szCs w:val="22"/>
          <w:lang w:eastAsia="en-US"/>
        </w:rPr>
        <w:t>Caso o fornecedor não apresente lances, concorrerá com o valor de sua proposta.</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2"/>
          <w:szCs w:val="22"/>
          <w:lang w:eastAsia="en-US"/>
        </w:rPr>
        <w:t>Durante o procedimento, os fornecedores serão informados, em tempo real, do valor do menor lance registrado, vedada a identificação do fornecedor.</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2"/>
          <w:szCs w:val="22"/>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lineRule="auto" w:line="276" w:before="120" w:after="120"/>
        <w:contextualSpacing/>
        <w:jc w:val="both"/>
        <w:rPr>
          <w:rFonts w:ascii="Arial" w:hAnsi="Arial"/>
          <w:sz w:val="22"/>
          <w:szCs w:val="22"/>
        </w:rPr>
      </w:pPr>
      <w:r>
        <w:rPr>
          <w:rFonts w:cs="Arial"/>
          <w:color w:val="000000" w:themeColor="text1"/>
          <w:sz w:val="22"/>
          <w:szCs w:val="22"/>
          <w:lang w:eastAsia="en-US"/>
        </w:rPr>
        <w:t>O encerramento da fase de lances ocorrerá de forma automática pontualmente no horário indicado, sem qualquer possibilidade de prorrogação e não havendo tempo aleatório ou mecanismo similar.</w:t>
      </w:r>
    </w:p>
    <w:p>
      <w:pPr>
        <w:pStyle w:val="Ttulo1"/>
        <w:numPr>
          <w:ilvl w:val="0"/>
          <w:numId w:val="1"/>
        </w:numPr>
        <w:rPr>
          <w:rFonts w:ascii="Arial" w:hAnsi="Arial" w:cs="Arial"/>
          <w:color w:val="00000A"/>
          <w:sz w:val="24"/>
          <w:szCs w:val="24"/>
        </w:rPr>
      </w:pPr>
      <w:bookmarkStart w:id="7" w:name="_Toc104906822"/>
      <w:bookmarkEnd w:id="7"/>
      <w:r>
        <w:rPr>
          <w:rFonts w:cs="Arial" w:ascii="Arial" w:hAnsi="Arial"/>
          <w:b/>
          <w:bCs/>
          <w:color w:val="00000A"/>
          <w:sz w:val="22"/>
          <w:szCs w:val="22"/>
        </w:rPr>
        <w:t>JULGAMENTO DAS PROPOSTAS DE PREÇO</w:t>
      </w:r>
    </w:p>
    <w:p>
      <w:pPr>
        <w:pStyle w:val="ListParagraph"/>
        <w:numPr>
          <w:ilvl w:val="1"/>
          <w:numId w:val="1"/>
        </w:numPr>
        <w:spacing w:lineRule="auto" w:line="276" w:before="120" w:after="120"/>
        <w:contextualSpacing/>
        <w:jc w:val="both"/>
        <w:rPr>
          <w:rFonts w:cs="Arial"/>
          <w:sz w:val="24"/>
        </w:rPr>
      </w:pPr>
      <w:r>
        <w:rPr>
          <w:rFonts w:cs="Arial"/>
          <w:sz w:val="22"/>
          <w:szCs w:val="22"/>
        </w:rPr>
        <w:t>Encerrada a fase de lances, será verificada a conformidade da proposta classificada em primeiro lugar quanto à adequação do objeto e à compatibilidade do preço em relação ao estipulado para a contratação.</w:t>
      </w:r>
    </w:p>
    <w:p>
      <w:pPr>
        <w:pStyle w:val="ListParagraph"/>
        <w:numPr>
          <w:ilvl w:val="1"/>
          <w:numId w:val="1"/>
        </w:numPr>
        <w:spacing w:lineRule="auto" w:line="276" w:before="120" w:after="120"/>
        <w:contextualSpacing/>
        <w:jc w:val="both"/>
        <w:rPr>
          <w:rFonts w:cs="Arial"/>
          <w:sz w:val="24"/>
        </w:rPr>
      </w:pPr>
      <w:r>
        <w:rPr>
          <w:rFonts w:cs="Arial"/>
          <w:sz w:val="22"/>
          <w:szCs w:val="22"/>
        </w:rPr>
        <w:t>No caso de o preço da proposta vencedora estar acima do estimado pela Administração, poderá haver a negociação de condições mais vantajosas.</w:t>
      </w:r>
    </w:p>
    <w:p>
      <w:pPr>
        <w:pStyle w:val="ListParagraph"/>
        <w:numPr>
          <w:ilvl w:val="2"/>
          <w:numId w:val="1"/>
        </w:numPr>
        <w:spacing w:lineRule="auto" w:line="276" w:before="120" w:after="120"/>
        <w:contextualSpacing/>
        <w:jc w:val="both"/>
        <w:rPr>
          <w:rFonts w:cs="Arial"/>
          <w:sz w:val="24"/>
        </w:rPr>
      </w:pPr>
      <w:r>
        <w:rPr>
          <w:rFonts w:cs="Arial"/>
          <w:color w:val="000000"/>
          <w:sz w:val="22"/>
          <w:szCs w:val="22"/>
        </w:rPr>
        <w:t>Neste caso, será encaminhada contraproposta ao fornecedor que tenha apresentado o melhor preço, para que seja obtida melhor proposta com preço compatível ao estimado pela Administração.</w:t>
      </w:r>
    </w:p>
    <w:p>
      <w:pPr>
        <w:pStyle w:val="ListParagraph"/>
        <w:numPr>
          <w:ilvl w:val="2"/>
          <w:numId w:val="1"/>
        </w:numPr>
        <w:spacing w:lineRule="auto" w:line="276" w:before="120" w:after="120"/>
        <w:contextualSpacing/>
        <w:jc w:val="both"/>
        <w:rPr>
          <w:rFonts w:cs="Arial"/>
          <w:sz w:val="24"/>
        </w:rPr>
      </w:pPr>
      <w:r>
        <w:rPr>
          <w:rFonts w:cs="Arial"/>
          <w:sz w:val="22"/>
          <w:szCs w:val="22"/>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ListParagraph"/>
        <w:numPr>
          <w:ilvl w:val="2"/>
          <w:numId w:val="1"/>
        </w:numPr>
        <w:spacing w:lineRule="auto" w:line="276" w:before="120" w:after="120"/>
        <w:contextualSpacing/>
        <w:jc w:val="both"/>
        <w:rPr>
          <w:rFonts w:cs="Arial"/>
          <w:sz w:val="24"/>
        </w:rPr>
      </w:pPr>
      <w:r>
        <w:rPr>
          <w:rFonts w:cs="Arial"/>
          <w:sz w:val="22"/>
          <w:szCs w:val="22"/>
        </w:rPr>
        <w:t>Em qualquer caso, concluída a negociação, o resultado será registrado na ata do procedimento da dispensa eletrônica.</w:t>
      </w:r>
    </w:p>
    <w:p>
      <w:pPr>
        <w:pStyle w:val="ListParagraph"/>
        <w:numPr>
          <w:ilvl w:val="1"/>
          <w:numId w:val="1"/>
        </w:numPr>
        <w:spacing w:lineRule="auto" w:line="276" w:before="120" w:after="120"/>
        <w:contextualSpacing/>
        <w:jc w:val="both"/>
        <w:rPr>
          <w:rFonts w:ascii="Arial" w:hAnsi="Arial"/>
          <w:sz w:val="22"/>
          <w:szCs w:val="22"/>
        </w:rPr>
      </w:pPr>
      <w:r>
        <w:rPr>
          <w:rFonts w:cs="Arial"/>
          <w:sz w:val="22"/>
          <w:szCs w:val="22"/>
        </w:rPr>
        <w:t>Estando o preço compatível, será solicitado o envio da proposta e, se necessário, de documentos complementares, adequada ao último lance.</w:t>
      </w:r>
    </w:p>
    <w:p>
      <w:pPr>
        <w:pStyle w:val="Normal"/>
        <w:numPr>
          <w:ilvl w:val="1"/>
          <w:numId w:val="1"/>
        </w:numPr>
        <w:spacing w:lineRule="auto" w:line="276" w:before="120" w:after="120"/>
        <w:jc w:val="both"/>
        <w:rPr>
          <w:color w:val="000000"/>
        </w:rPr>
      </w:pPr>
      <w:r>
        <w:rPr>
          <w:rFonts w:cs="Arial"/>
          <w:color w:val="000000" w:themeColor="text1"/>
          <w:sz w:val="22"/>
          <w:szCs w:val="22"/>
        </w:rPr>
        <w:t xml:space="preserve">O prazo de validade </w:t>
      </w:r>
      <w:r>
        <w:rPr>
          <w:rFonts w:cs="Arial"/>
          <w:color w:val="000000"/>
          <w:sz w:val="22"/>
          <w:szCs w:val="22"/>
        </w:rPr>
        <w:t>da</w:t>
      </w:r>
      <w:r>
        <w:rPr>
          <w:rFonts w:cs="Arial"/>
          <w:color w:val="000000" w:themeColor="text1"/>
          <w:sz w:val="22"/>
          <w:szCs w:val="22"/>
        </w:rPr>
        <w:t xml:space="preserve"> proposta não será inferior a 90</w:t>
      </w:r>
      <w:r>
        <w:rPr>
          <w:rFonts w:cs="Arial"/>
          <w:color w:val="000000"/>
          <w:sz w:val="22"/>
          <w:szCs w:val="22"/>
        </w:rPr>
        <w:t xml:space="preserve"> (noventa)</w:t>
      </w:r>
      <w:r>
        <w:rPr>
          <w:rFonts w:cs="Arial"/>
          <w:color w:val="000000" w:themeColor="text1"/>
          <w:sz w:val="22"/>
          <w:szCs w:val="22"/>
        </w:rPr>
        <w:t xml:space="preserve"> dias</w:t>
      </w:r>
      <w:r>
        <w:rPr>
          <w:rFonts w:cs="Arial"/>
          <w:b/>
          <w:bCs/>
          <w:color w:val="000000" w:themeColor="text1"/>
          <w:sz w:val="22"/>
          <w:szCs w:val="22"/>
        </w:rPr>
        <w:t>,</w:t>
      </w:r>
      <w:r>
        <w:rPr>
          <w:rFonts w:cs="Arial"/>
          <w:color w:val="000000" w:themeColor="text1"/>
          <w:sz w:val="22"/>
          <w:szCs w:val="22"/>
        </w:rPr>
        <w:t xml:space="preserve"> a contar da data de sua apresentação.</w:t>
      </w:r>
    </w:p>
    <w:p>
      <w:pPr>
        <w:pStyle w:val="ListParagraph"/>
        <w:numPr>
          <w:ilvl w:val="1"/>
          <w:numId w:val="1"/>
        </w:numPr>
        <w:spacing w:lineRule="auto" w:line="276" w:before="120" w:after="120"/>
        <w:contextualSpacing/>
        <w:jc w:val="both"/>
        <w:rPr>
          <w:rFonts w:cs="Arial"/>
          <w:i/>
          <w:i/>
          <w:color w:val="000000" w:themeColor="text1"/>
          <w:sz w:val="24"/>
        </w:rPr>
      </w:pPr>
      <w:r>
        <w:rPr>
          <w:rFonts w:cs="Arial"/>
          <w:color w:val="000000" w:themeColor="text1"/>
          <w:sz w:val="22"/>
          <w:szCs w:val="22"/>
          <w:lang w:eastAsia="en-US"/>
        </w:rPr>
        <w:t xml:space="preserve">Será desclassificada a proposta vencedora que: </w:t>
      </w:r>
    </w:p>
    <w:p>
      <w:pPr>
        <w:pStyle w:val="ListParagraph"/>
        <w:numPr>
          <w:ilvl w:val="2"/>
          <w:numId w:val="1"/>
        </w:numPr>
        <w:spacing w:lineRule="auto" w:line="276" w:before="120" w:after="120"/>
        <w:contextualSpacing/>
        <w:jc w:val="both"/>
        <w:rPr>
          <w:rFonts w:cs="Arial"/>
          <w:i/>
          <w:i/>
          <w:color w:val="000000" w:themeColor="text1"/>
          <w:sz w:val="24"/>
        </w:rPr>
      </w:pPr>
      <w:r>
        <w:rPr>
          <w:rFonts w:cs="Arial"/>
          <w:color w:val="000000"/>
          <w:sz w:val="22"/>
          <w:szCs w:val="22"/>
        </w:rPr>
        <w:t>contiver vícios insanáveis</w:t>
      </w:r>
      <w:r>
        <w:rPr>
          <w:rFonts w:cs="Arial"/>
          <w:iCs/>
          <w:color w:val="000000" w:themeColor="text1"/>
          <w:sz w:val="22"/>
          <w:szCs w:val="22"/>
        </w:rPr>
        <w:t>;</w:t>
      </w:r>
    </w:p>
    <w:p>
      <w:pPr>
        <w:pStyle w:val="ListParagraph"/>
        <w:numPr>
          <w:ilvl w:val="2"/>
          <w:numId w:val="1"/>
        </w:numPr>
        <w:spacing w:lineRule="auto" w:line="276" w:before="120" w:after="120"/>
        <w:contextualSpacing/>
        <w:jc w:val="both"/>
        <w:rPr>
          <w:rFonts w:cs="Arial"/>
          <w:i/>
          <w:i/>
          <w:color w:val="000000" w:themeColor="text1"/>
          <w:sz w:val="24"/>
        </w:rPr>
      </w:pPr>
      <w:r>
        <w:rPr>
          <w:rFonts w:cs="Arial"/>
          <w:color w:val="000000"/>
          <w:sz w:val="22"/>
          <w:szCs w:val="22"/>
        </w:rPr>
        <w:t>não obedecer às especificações técnicas pormenorizadas neste aviso ou em seus anexos</w:t>
      </w:r>
      <w:r>
        <w:rPr>
          <w:rFonts w:cs="Arial"/>
          <w:iCs/>
          <w:color w:val="000000" w:themeColor="text1"/>
          <w:sz w:val="22"/>
          <w:szCs w:val="22"/>
        </w:rPr>
        <w:t>;</w:t>
      </w:r>
    </w:p>
    <w:p>
      <w:pPr>
        <w:pStyle w:val="ListParagraph"/>
        <w:numPr>
          <w:ilvl w:val="2"/>
          <w:numId w:val="1"/>
        </w:numPr>
        <w:spacing w:lineRule="auto" w:line="276" w:before="120" w:after="120"/>
        <w:contextualSpacing/>
        <w:jc w:val="both"/>
        <w:rPr>
          <w:rFonts w:cs="Arial"/>
          <w:i/>
          <w:i/>
          <w:color w:val="000000" w:themeColor="text1"/>
          <w:sz w:val="24"/>
        </w:rPr>
      </w:pPr>
      <w:r>
        <w:rPr>
          <w:rFonts w:cs="Arial"/>
          <w:color w:val="000000"/>
          <w:sz w:val="22"/>
          <w:szCs w:val="22"/>
        </w:rPr>
        <w:t>apresentar preços inexequíveis ou permanecerem acima do preço máximo definido para a contratação;</w:t>
      </w:r>
    </w:p>
    <w:p>
      <w:pPr>
        <w:pStyle w:val="ListParagraph"/>
        <w:numPr>
          <w:ilvl w:val="2"/>
          <w:numId w:val="1"/>
        </w:numPr>
        <w:spacing w:lineRule="auto" w:line="276" w:before="120" w:after="120"/>
        <w:contextualSpacing/>
        <w:jc w:val="both"/>
        <w:rPr>
          <w:rFonts w:cs="Arial"/>
          <w:i/>
          <w:i/>
          <w:color w:val="000000" w:themeColor="text1"/>
          <w:sz w:val="24"/>
        </w:rPr>
      </w:pPr>
      <w:r>
        <w:rPr>
          <w:rFonts w:cs="Arial"/>
          <w:color w:val="000000"/>
          <w:sz w:val="22"/>
          <w:szCs w:val="22"/>
        </w:rPr>
        <w:t>não tiverem sua exequibilidade demonstrada, quando exigido pela Administração</w:t>
      </w:r>
      <w:r>
        <w:rPr>
          <w:rFonts w:cs="Arial"/>
          <w:iCs/>
          <w:color w:val="000000" w:themeColor="text1"/>
          <w:sz w:val="22"/>
          <w:szCs w:val="22"/>
        </w:rPr>
        <w:t>;</w:t>
      </w:r>
    </w:p>
    <w:p>
      <w:pPr>
        <w:pStyle w:val="ListParagraph"/>
        <w:numPr>
          <w:ilvl w:val="2"/>
          <w:numId w:val="1"/>
        </w:numPr>
        <w:spacing w:lineRule="auto" w:line="276" w:before="120" w:after="120"/>
        <w:contextualSpacing/>
        <w:jc w:val="both"/>
        <w:rPr>
          <w:rFonts w:cs="Arial"/>
          <w:i/>
          <w:i/>
          <w:color w:val="000000" w:themeColor="text1"/>
          <w:sz w:val="24"/>
        </w:rPr>
      </w:pPr>
      <w:r>
        <w:rPr>
          <w:rFonts w:cs="Arial"/>
          <w:color w:val="000000"/>
          <w:sz w:val="22"/>
          <w:szCs w:val="22"/>
        </w:rPr>
        <w:t>apresentar desconformidade com quaisquer outras exigências deste aviso ou seus anexos, desde que insanável.</w:t>
      </w:r>
    </w:p>
    <w:p>
      <w:pPr>
        <w:pStyle w:val="ListParagraph"/>
        <w:numPr>
          <w:ilvl w:val="1"/>
          <w:numId w:val="1"/>
        </w:numPr>
        <w:spacing w:lineRule="auto" w:line="276" w:before="120" w:after="120"/>
        <w:contextualSpacing/>
        <w:jc w:val="both"/>
        <w:rPr>
          <w:rFonts w:cs="Arial"/>
          <w:i/>
          <w:i/>
          <w:color w:val="000000" w:themeColor="text1"/>
          <w:sz w:val="24"/>
        </w:rPr>
      </w:pPr>
      <w:r>
        <w:rPr>
          <w:rFonts w:cs="Arial"/>
          <w:color w:val="000000" w:themeColor="text1"/>
          <w:sz w:val="22"/>
          <w:szCs w:val="22"/>
          <w:lang w:eastAsia="en-US"/>
        </w:rPr>
        <w:t>Quando</w:t>
      </w:r>
      <w:r>
        <w:rPr>
          <w:rFonts w:cs="Arial"/>
          <w:sz w:val="22"/>
          <w:szCs w:val="22"/>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1"/>
        </w:numPr>
        <w:spacing w:lineRule="auto" w:line="276" w:before="120" w:after="120"/>
        <w:contextualSpacing/>
        <w:jc w:val="both"/>
        <w:rPr>
          <w:rFonts w:cs="Arial"/>
          <w:i/>
          <w:i/>
          <w:color w:val="000000" w:themeColor="text1"/>
          <w:sz w:val="24"/>
        </w:rPr>
      </w:pPr>
      <w:r>
        <w:rPr>
          <w:rFonts w:cs="Arial"/>
          <w:sz w:val="22"/>
          <w:szCs w:val="22"/>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1"/>
        </w:numPr>
        <w:spacing w:lineRule="auto" w:line="276" w:before="120" w:after="120"/>
        <w:contextualSpacing/>
        <w:jc w:val="both"/>
        <w:rPr>
          <w:rFonts w:ascii="Arial" w:hAnsi="Arial"/>
          <w:sz w:val="22"/>
          <w:szCs w:val="22"/>
        </w:rPr>
      </w:pPr>
      <w:r>
        <w:rPr>
          <w:rFonts w:cs="Arial"/>
          <w:sz w:val="22"/>
          <w:szCs w:val="22"/>
        </w:rPr>
        <w:t>apresentar um ou mais valores da planilha de custo que sejam inferiores àqueles fixados em instrumentos de caráter normativo obrigatório, tais como leis, medidas provisórias e convenções coletivas de trabalho vigentes.</w:t>
      </w:r>
    </w:p>
    <w:p>
      <w:pPr>
        <w:pStyle w:val="ListParagraph"/>
        <w:numPr>
          <w:ilvl w:val="1"/>
          <w:numId w:val="1"/>
        </w:numPr>
        <w:spacing w:lineRule="auto" w:line="276" w:before="120" w:after="120"/>
        <w:ind w:left="792" w:right="-15" w:hanging="432"/>
        <w:contextualSpacing/>
        <w:jc w:val="both"/>
        <w:rPr>
          <w:rFonts w:cs="Arial"/>
          <w:color w:val="000000" w:themeColor="text1"/>
          <w:sz w:val="24"/>
          <w:lang w:eastAsia="en-US"/>
        </w:rPr>
      </w:pPr>
      <w:r>
        <w:rPr>
          <w:rFonts w:cs="Arial"/>
          <w:color w:val="000000" w:themeColor="text1"/>
          <w:sz w:val="22"/>
          <w:szCs w:val="22"/>
          <w:lang w:eastAsia="en-US"/>
        </w:rPr>
        <w:t xml:space="preserve">Se houver indícios de inexequibilidade da proposta de preço, ou em caso da necessidade de esclarecimentos </w:t>
      </w:r>
      <w:r>
        <w:rPr>
          <w:rFonts w:cs="Arial"/>
          <w:sz w:val="22"/>
          <w:szCs w:val="22"/>
        </w:rPr>
        <w:t>complementares</w:t>
      </w:r>
      <w:r>
        <w:rPr>
          <w:rFonts w:cs="Arial"/>
          <w:color w:val="000000" w:themeColor="text1"/>
          <w:sz w:val="22"/>
          <w:szCs w:val="22"/>
          <w:lang w:eastAsia="en-US"/>
        </w:rPr>
        <w:t xml:space="preserve">, poderão ser efetuadas diligências, para que a empresa comprove a exequibilidade da proposta.  </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2"/>
          <w:szCs w:val="22"/>
          <w:lang w:eastAsia="en-US"/>
        </w:rPr>
        <w:t xml:space="preserve">Erros no preenchimento da planilha não constituem motivo para a desclassificação da proposta. A planilha </w:t>
      </w:r>
      <w:r>
        <w:rPr>
          <w:rFonts w:cs="Arial"/>
          <w:sz w:val="22"/>
          <w:szCs w:val="22"/>
        </w:rPr>
        <w:t>poderá́</w:t>
      </w:r>
      <w:r>
        <w:rPr>
          <w:rFonts w:cs="Arial"/>
          <w:color w:val="000000" w:themeColor="text1"/>
          <w:sz w:val="22"/>
          <w:szCs w:val="22"/>
          <w:lang w:eastAsia="en-US"/>
        </w:rPr>
        <w:t xml:space="preserve"> ser ajustada pelo fornecedor, no prazo indicado pelo sistema, desde que não haja majoração do preço.</w:t>
      </w:r>
    </w:p>
    <w:p>
      <w:pPr>
        <w:pStyle w:val="ListParagraph"/>
        <w:numPr>
          <w:ilvl w:val="2"/>
          <w:numId w:val="1"/>
        </w:numPr>
        <w:spacing w:lineRule="auto" w:line="276" w:before="120" w:after="120"/>
        <w:contextualSpacing/>
        <w:jc w:val="both"/>
        <w:rPr>
          <w:rFonts w:cs="Arial"/>
          <w:color w:val="000000" w:themeColor="text1"/>
          <w:sz w:val="24"/>
          <w:lang w:eastAsia="en-US"/>
        </w:rPr>
      </w:pPr>
      <w:r>
        <w:rPr>
          <w:rFonts w:cs="Arial"/>
          <w:color w:val="000000" w:themeColor="text1"/>
          <w:sz w:val="22"/>
          <w:szCs w:val="22"/>
          <w:lang w:eastAsia="en-US"/>
        </w:rPr>
        <w:t>O ajuste de que trata este dispositivo se limita a sanar erros ou falhas que não alterem a substância das propostas;</w:t>
      </w:r>
    </w:p>
    <w:p>
      <w:pPr>
        <w:pStyle w:val="ListParagraph"/>
        <w:numPr>
          <w:ilvl w:val="2"/>
          <w:numId w:val="1"/>
        </w:numPr>
        <w:spacing w:lineRule="auto" w:line="276" w:before="120" w:after="120"/>
        <w:contextualSpacing/>
        <w:jc w:val="both"/>
        <w:rPr>
          <w:rFonts w:cs="Arial"/>
          <w:color w:val="000000" w:themeColor="text1"/>
          <w:sz w:val="24"/>
          <w:lang w:eastAsia="en-US"/>
        </w:rPr>
      </w:pPr>
      <w:r>
        <w:rPr>
          <w:rFonts w:cs="Arial"/>
          <w:color w:val="000000" w:themeColor="text1"/>
          <w:sz w:val="22"/>
          <w:szCs w:val="22"/>
          <w:lang w:eastAsia="en-US"/>
        </w:rPr>
        <w:t>Considera-se erro no preenchimento da planilha passível de correção a indicação de recolhimento de impostos e contribuições na forma do Simples Nacional, quando não cabível esse regime.</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2"/>
          <w:szCs w:val="22"/>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2"/>
          <w:szCs w:val="22"/>
          <w:lang w:eastAsia="en-US"/>
        </w:rPr>
        <w:t>Se a proposta ou lance vencedor for desclassificado, será examinada a proposta ou lance subsequente, e, assim sucessivamente, na ordem de classificação.</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2"/>
          <w:szCs w:val="22"/>
          <w:lang w:eastAsia="en-US"/>
        </w:rPr>
        <w:t>Havendo necessidade, a sessão será suspensa, informando-se no “chat” a nova data e horário para a sua continuidade.</w:t>
      </w:r>
    </w:p>
    <w:p>
      <w:pPr>
        <w:pStyle w:val="ListParagraph"/>
        <w:numPr>
          <w:ilvl w:val="1"/>
          <w:numId w:val="1"/>
        </w:numPr>
        <w:spacing w:lineRule="auto" w:line="276" w:before="120" w:after="120"/>
        <w:contextualSpacing/>
        <w:jc w:val="both"/>
        <w:rPr>
          <w:rFonts w:ascii="Arial" w:hAnsi="Arial"/>
          <w:sz w:val="22"/>
          <w:szCs w:val="22"/>
        </w:rPr>
      </w:pPr>
      <w:r>
        <w:rPr>
          <w:rFonts w:cs="Arial"/>
          <w:color w:val="000000" w:themeColor="text1"/>
          <w:sz w:val="22"/>
          <w:szCs w:val="22"/>
          <w:lang w:eastAsia="en-US"/>
        </w:rPr>
        <w:t>Encerrada a análise quanto à aceitação da proposta, se iniciará a fase de habilitação, observado o disposto neste Aviso de Contratação Direta. </w:t>
      </w:r>
    </w:p>
    <w:p>
      <w:pPr>
        <w:pStyle w:val="Ttulo1"/>
        <w:numPr>
          <w:ilvl w:val="0"/>
          <w:numId w:val="1"/>
        </w:numPr>
        <w:rPr>
          <w:rFonts w:ascii="Arial" w:hAnsi="Arial" w:cs="Arial"/>
          <w:color w:val="00000A"/>
          <w:sz w:val="24"/>
          <w:szCs w:val="24"/>
        </w:rPr>
      </w:pPr>
      <w:bookmarkStart w:id="8" w:name="_Toc104906823"/>
      <w:bookmarkEnd w:id="8"/>
      <w:r>
        <w:rPr>
          <w:rFonts w:cs="Arial" w:ascii="Arial" w:hAnsi="Arial"/>
          <w:b/>
          <w:bCs/>
          <w:color w:val="00000A"/>
          <w:sz w:val="22"/>
          <w:szCs w:val="22"/>
        </w:rPr>
        <w:t>HABILITAÇÃO</w:t>
      </w:r>
    </w:p>
    <w:p>
      <w:pPr>
        <w:pStyle w:val="ListParagraph"/>
        <w:numPr>
          <w:ilvl w:val="1"/>
          <w:numId w:val="1"/>
        </w:numPr>
        <w:spacing w:lineRule="auto" w:line="276" w:before="120" w:after="120"/>
        <w:contextualSpacing/>
        <w:jc w:val="both"/>
        <w:rPr>
          <w:rFonts w:cs="Arial"/>
          <w:b/>
          <w:b/>
          <w:sz w:val="24"/>
          <w:lang w:eastAsia="ar-SA"/>
        </w:rPr>
      </w:pPr>
      <w:r>
        <w:rPr>
          <w:rFonts w:cs="Arial"/>
          <w:sz w:val="22"/>
          <w:szCs w:val="22"/>
          <w:lang w:eastAsia="ar-SA"/>
        </w:rPr>
        <w:t xml:space="preserve">Os </w:t>
      </w:r>
      <w:r>
        <w:rPr>
          <w:rFonts w:cs="Arial"/>
          <w:color w:val="000000"/>
          <w:sz w:val="22"/>
          <w:szCs w:val="22"/>
        </w:rPr>
        <w:t>documentos</w:t>
      </w:r>
      <w:r>
        <w:rPr>
          <w:rFonts w:cs="Arial"/>
          <w:sz w:val="22"/>
          <w:szCs w:val="22"/>
          <w:lang w:eastAsia="ar-SA"/>
        </w:rPr>
        <w:t xml:space="preserve"> a serem exigidos para fins de habilitação constam do </w:t>
      </w:r>
      <w:r>
        <w:rPr>
          <w:rFonts w:cs="Arial"/>
          <w:b/>
          <w:sz w:val="22"/>
          <w:szCs w:val="22"/>
          <w:lang w:eastAsia="ar-SA"/>
        </w:rPr>
        <w:t xml:space="preserve">ANEXO I – DOCUMENTAÇÃO EXIGIDA PARA HABILITAÇÃO </w:t>
      </w:r>
      <w:r>
        <w:rPr>
          <w:rFonts w:cs="Arial"/>
          <w:sz w:val="22"/>
          <w:szCs w:val="22"/>
          <w:lang w:eastAsia="ar-SA"/>
        </w:rPr>
        <w:t>deste aviso e serão solicitados do fornecedor mais bem classificado da fase de lances.</w:t>
      </w:r>
    </w:p>
    <w:p>
      <w:pPr>
        <w:pStyle w:val="ListParagraph"/>
        <w:numPr>
          <w:ilvl w:val="1"/>
          <w:numId w:val="1"/>
        </w:numPr>
        <w:spacing w:lineRule="auto" w:line="276" w:before="120" w:after="120"/>
        <w:ind w:left="792" w:hanging="574"/>
        <w:contextualSpacing/>
        <w:jc w:val="both"/>
        <w:rPr>
          <w:rFonts w:cs="Arial"/>
          <w:b/>
          <w:b/>
          <w:sz w:val="24"/>
          <w:lang w:eastAsia="ar-SA"/>
        </w:rPr>
      </w:pPr>
      <w:r>
        <w:rPr>
          <w:rFonts w:cs="Arial"/>
          <w:sz w:val="22"/>
          <w:szCs w:val="22"/>
          <w:lang w:eastAsia="ar-SA"/>
        </w:rPr>
        <w:t xml:space="preserve">Como </w:t>
      </w:r>
      <w:r>
        <w:rPr>
          <w:rFonts w:cs="Arial"/>
          <w:color w:val="000000"/>
          <w:sz w:val="22"/>
          <w:szCs w:val="22"/>
        </w:rPr>
        <w:t>condição</w:t>
      </w:r>
      <w:r>
        <w:rPr>
          <w:rFonts w:cs="Arial"/>
          <w:sz w:val="22"/>
          <w:szCs w:val="22"/>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ListParagraph"/>
        <w:spacing w:lineRule="auto" w:line="276" w:before="120" w:after="120"/>
        <w:ind w:left="1134" w:hanging="0"/>
        <w:contextualSpacing/>
        <w:jc w:val="both"/>
        <w:rPr>
          <w:rFonts w:cs="Arial"/>
          <w:sz w:val="24"/>
          <w:lang w:eastAsia="ar-SA"/>
        </w:rPr>
      </w:pPr>
      <w:r>
        <w:rPr>
          <w:rFonts w:cs="Arial"/>
          <w:sz w:val="22"/>
          <w:szCs w:val="22"/>
          <w:lang w:eastAsia="ar-SA"/>
        </w:rPr>
        <w:t xml:space="preserve">a) SICAF;  </w:t>
      </w:r>
    </w:p>
    <w:p>
      <w:pPr>
        <w:pStyle w:val="ListParagraph"/>
        <w:spacing w:lineRule="auto" w:line="276" w:before="120" w:after="120"/>
        <w:ind w:left="1134" w:hanging="0"/>
        <w:contextualSpacing/>
        <w:jc w:val="both"/>
        <w:rPr/>
      </w:pPr>
      <w:r>
        <w:rPr>
          <w:rFonts w:cs="Arial"/>
          <w:sz w:val="22"/>
          <w:szCs w:val="22"/>
          <w:lang w:eastAsia="ar-SA"/>
        </w:rPr>
        <w:t>b) Cadastro Nacional de Empresas Inidôneas e Suspensas - CEIS, mantido pela Controladoria-Geral da União (</w:t>
      </w:r>
      <w:hyperlink r:id="rId4">
        <w:r>
          <w:rPr>
            <w:rStyle w:val="LinkdaInternet"/>
            <w:rFonts w:eastAsia="Calibri" w:cs="Arial"/>
            <w:vanish/>
            <w:sz w:val="22"/>
            <w:szCs w:val="22"/>
            <w:lang w:eastAsia="ar-SA"/>
          </w:rPr>
          <w:t>www.portaldatransparencia.gov.br/ceis</w:t>
        </w:r>
      </w:hyperlink>
      <w:r>
        <w:rPr>
          <w:rFonts w:cs="Arial"/>
          <w:sz w:val="22"/>
          <w:szCs w:val="22"/>
          <w:lang w:eastAsia="ar-SA"/>
        </w:rPr>
        <w:t xml:space="preserve">);  </w:t>
      </w:r>
    </w:p>
    <w:p>
      <w:pPr>
        <w:pStyle w:val="ListParagraph"/>
        <w:spacing w:lineRule="auto" w:line="276" w:before="120" w:after="120"/>
        <w:ind w:left="1134" w:hanging="0"/>
        <w:contextualSpacing/>
        <w:jc w:val="both"/>
        <w:rPr/>
      </w:pPr>
      <w:r>
        <w:rPr>
          <w:rFonts w:cs="Arial"/>
          <w:sz w:val="22"/>
          <w:szCs w:val="22"/>
          <w:lang w:eastAsia="ar-SA"/>
        </w:rPr>
        <w:t>c) Cadastro Nacional de Condenações Cíveis por Atos de Improbidade Administrativa, mantido pelo Conselho Nacional de Justiça (</w:t>
      </w:r>
      <w:hyperlink r:id="rId5">
        <w:r>
          <w:rPr>
            <w:rStyle w:val="LinkdaInternet"/>
            <w:rFonts w:eastAsia="Calibri" w:cs="Arial"/>
            <w:vanish/>
            <w:sz w:val="22"/>
            <w:szCs w:val="22"/>
            <w:lang w:eastAsia="ar-SA"/>
          </w:rPr>
          <w:t>www.cnj.jus.br/improbidade_adm/consultar_requerido.php</w:t>
        </w:r>
      </w:hyperlink>
      <w:r>
        <w:rPr>
          <w:rFonts w:cs="Arial"/>
          <w:sz w:val="22"/>
          <w:szCs w:val="22"/>
          <w:lang w:eastAsia="ar-SA"/>
        </w:rPr>
        <w:t xml:space="preserve">).  </w:t>
      </w:r>
    </w:p>
    <w:p>
      <w:pPr>
        <w:pStyle w:val="ListParagraph"/>
        <w:spacing w:lineRule="auto" w:line="276" w:before="120" w:after="120"/>
        <w:ind w:left="1134" w:hanging="0"/>
        <w:contextualSpacing/>
        <w:jc w:val="both"/>
        <w:rPr>
          <w:rFonts w:cs="Arial"/>
          <w:sz w:val="24"/>
          <w:lang w:eastAsia="ar-SA"/>
        </w:rPr>
      </w:pPr>
      <w:r>
        <w:rPr>
          <w:rFonts w:cs="Arial"/>
          <w:sz w:val="22"/>
          <w:szCs w:val="22"/>
          <w:lang w:eastAsia="ar-SA"/>
        </w:rPr>
        <w:t xml:space="preserve">d) Lista de Inidôneos mantida pelo Tribunal de Contas da União - TCU; </w:t>
      </w:r>
    </w:p>
    <w:p>
      <w:pPr>
        <w:pStyle w:val="ListParagraph"/>
        <w:numPr>
          <w:ilvl w:val="2"/>
          <w:numId w:val="1"/>
        </w:numPr>
        <w:spacing w:lineRule="auto" w:line="276" w:before="120" w:after="120"/>
        <w:contextualSpacing/>
        <w:jc w:val="both"/>
        <w:rPr>
          <w:rFonts w:cs="Arial"/>
          <w:b/>
          <w:b/>
          <w:sz w:val="24"/>
        </w:rPr>
      </w:pPr>
      <w:r>
        <w:rPr>
          <w:rFonts w:cs="Arial"/>
          <w:sz w:val="22"/>
          <w:szCs w:val="22"/>
          <w:lang w:eastAsia="ar-SA"/>
        </w:rPr>
        <w:t xml:space="preserve">Para a consulta de </w:t>
      </w:r>
      <w:r>
        <w:rPr>
          <w:rFonts w:cs="Arial"/>
          <w:color w:val="000000" w:themeColor="text1"/>
          <w:sz w:val="22"/>
          <w:szCs w:val="22"/>
        </w:rPr>
        <w:t>fornecedores</w:t>
      </w:r>
      <w:r>
        <w:rPr>
          <w:rFonts w:cs="Arial"/>
          <w:sz w:val="22"/>
          <w:szCs w:val="22"/>
          <w:lang w:eastAsia="ar-SA"/>
        </w:rPr>
        <w:t xml:space="preserve"> pessoa jurídica poderá haver a substituição das consultas das alíneas “b”, “c” e “d” acima pela Consulta Consolidada de Pessoa Jurídica do TCU (https://certidoesapf.apps.tcu.gov.br/)</w:t>
      </w:r>
    </w:p>
    <w:p>
      <w:pPr>
        <w:pStyle w:val="ListParagraph"/>
        <w:numPr>
          <w:ilvl w:val="2"/>
          <w:numId w:val="1"/>
        </w:numPr>
        <w:spacing w:lineRule="auto" w:line="276" w:before="120" w:after="120"/>
        <w:contextualSpacing/>
        <w:jc w:val="both"/>
        <w:rPr>
          <w:rFonts w:cs="Arial"/>
          <w:sz w:val="24"/>
        </w:rPr>
      </w:pPr>
      <w:r>
        <w:rPr>
          <w:rFonts w:cs="Arial"/>
          <w:color w:val="000000" w:themeColor="text1"/>
          <w:sz w:val="22"/>
          <w:szCs w:val="22"/>
        </w:rPr>
        <w:t xml:space="preserve">A consulta aos </w:t>
      </w:r>
      <w:r>
        <w:rPr>
          <w:rFonts w:cs="Arial"/>
          <w:sz w:val="22"/>
          <w:szCs w:val="22"/>
          <w:lang w:eastAsia="ar-SA"/>
        </w:rPr>
        <w:t>cadastros</w:t>
      </w:r>
      <w:r>
        <w:rPr>
          <w:rFonts w:cs="Arial"/>
          <w:color w:val="000000" w:themeColor="text1"/>
          <w:sz w:val="22"/>
          <w:szCs w:val="22"/>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numPr>
          <w:ilvl w:val="3"/>
          <w:numId w:val="1"/>
        </w:numPr>
        <w:spacing w:lineRule="auto" w:line="276" w:before="120" w:after="120"/>
        <w:contextualSpacing/>
        <w:jc w:val="both"/>
        <w:rPr>
          <w:rFonts w:cs="Arial"/>
          <w:sz w:val="24"/>
        </w:rPr>
      </w:pPr>
      <w:r>
        <w:rPr>
          <w:rFonts w:cs="Arial"/>
          <w:color w:val="000000" w:themeColor="text1"/>
          <w:sz w:val="22"/>
          <w:szCs w:val="22"/>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numPr>
          <w:ilvl w:val="4"/>
          <w:numId w:val="1"/>
        </w:numPr>
        <w:spacing w:lineRule="auto" w:line="276" w:before="120" w:after="120"/>
        <w:contextualSpacing/>
        <w:jc w:val="both"/>
        <w:rPr>
          <w:rFonts w:cs="Arial"/>
          <w:color w:val="000000" w:themeColor="text1"/>
          <w:sz w:val="24"/>
        </w:rPr>
      </w:pPr>
      <w:r>
        <w:rPr>
          <w:rFonts w:cs="Arial"/>
          <w:color w:val="000000" w:themeColor="text1"/>
          <w:sz w:val="22"/>
          <w:szCs w:val="22"/>
        </w:rPr>
        <w:t>A tentativa de burla será verificada por meio dos vínculos societários, linhas de fornecimento similares, dentre outros.</w:t>
      </w:r>
    </w:p>
    <w:p>
      <w:pPr>
        <w:pStyle w:val="ListParagraph"/>
        <w:numPr>
          <w:ilvl w:val="4"/>
          <w:numId w:val="1"/>
        </w:numPr>
        <w:spacing w:lineRule="auto" w:line="276" w:before="120" w:after="120"/>
        <w:contextualSpacing/>
        <w:jc w:val="both"/>
        <w:rPr>
          <w:rFonts w:cs="Arial"/>
          <w:sz w:val="24"/>
        </w:rPr>
      </w:pPr>
      <w:r>
        <w:rPr>
          <w:rFonts w:cs="Arial"/>
          <w:color w:val="000000" w:themeColor="text1"/>
          <w:sz w:val="22"/>
          <w:szCs w:val="22"/>
        </w:rPr>
        <w:t>O fornecedor será convocado para manifestação previamente à sua desclassificação</w:t>
      </w:r>
    </w:p>
    <w:p>
      <w:pPr>
        <w:pStyle w:val="ListParagraph"/>
        <w:numPr>
          <w:ilvl w:val="2"/>
          <w:numId w:val="1"/>
        </w:numPr>
        <w:spacing w:lineRule="auto" w:line="276" w:before="120" w:after="120"/>
        <w:contextualSpacing/>
        <w:jc w:val="both"/>
        <w:rPr>
          <w:rFonts w:cs="Arial"/>
          <w:sz w:val="24"/>
        </w:rPr>
      </w:pPr>
      <w:r>
        <w:rPr>
          <w:rFonts w:cs="Arial"/>
          <w:color w:val="000000" w:themeColor="text1"/>
          <w:sz w:val="22"/>
          <w:szCs w:val="22"/>
        </w:rPr>
        <w:t>Constatada a existência de sanção, o fornecedor será reputado inabilitado, por falta de condição de participação.</w:t>
      </w:r>
    </w:p>
    <w:p>
      <w:pPr>
        <w:pStyle w:val="ListParagraph"/>
        <w:numPr>
          <w:ilvl w:val="1"/>
          <w:numId w:val="1"/>
        </w:numPr>
        <w:spacing w:lineRule="auto" w:line="276" w:before="120" w:after="120"/>
        <w:ind w:left="792" w:hanging="574"/>
        <w:contextualSpacing/>
        <w:jc w:val="both"/>
        <w:rPr>
          <w:rFonts w:cs="Arial"/>
          <w:sz w:val="24"/>
        </w:rPr>
      </w:pPr>
      <w:r>
        <w:rPr>
          <w:rFonts w:cs="Arial"/>
          <w:color w:val="000000" w:themeColor="text1"/>
          <w:sz w:val="22"/>
          <w:szCs w:val="22"/>
        </w:rPr>
        <w:t xml:space="preserve">Caso atendidas as condições de participação, </w:t>
      </w:r>
      <w:r>
        <w:rPr>
          <w:rFonts w:cs="Arial"/>
          <w:sz w:val="22"/>
          <w:szCs w:val="22"/>
        </w:rPr>
        <w:t>a habilitação dos fornecedores será verificada por meio do SICAF, nos documentos por ele abrangidos</w:t>
      </w:r>
      <w:r>
        <w:rPr>
          <w:rFonts w:cs="Arial"/>
          <w:color w:val="000000" w:themeColor="text1"/>
          <w:sz w:val="22"/>
          <w:szCs w:val="22"/>
        </w:rPr>
        <w:t>.</w:t>
      </w:r>
    </w:p>
    <w:p>
      <w:pPr>
        <w:pStyle w:val="ListParagraph"/>
        <w:numPr>
          <w:ilvl w:val="2"/>
          <w:numId w:val="1"/>
        </w:numPr>
        <w:spacing w:lineRule="auto" w:line="276" w:before="120" w:after="120"/>
        <w:contextualSpacing/>
        <w:jc w:val="both"/>
        <w:rPr>
          <w:rFonts w:cs="Arial"/>
          <w:color w:val="000000" w:themeColor="text1"/>
          <w:sz w:val="24"/>
        </w:rPr>
      </w:pPr>
      <w:r>
        <w:rPr>
          <w:rFonts w:cs="Arial"/>
          <w:color w:val="000000" w:themeColor="text1"/>
          <w:sz w:val="22"/>
          <w:szCs w:val="22"/>
        </w:rPr>
        <w:t>É dever do fornecedor atualizar previamente as comprovações constantes do SICAF para que estejam vigentes na data da abertura da sessão pública, ou encaminhar, quando solicitado, a respectiva documentação atualizada.</w:t>
      </w:r>
    </w:p>
    <w:p>
      <w:pPr>
        <w:pStyle w:val="ListParagraph"/>
        <w:numPr>
          <w:ilvl w:val="2"/>
          <w:numId w:val="1"/>
        </w:numPr>
        <w:spacing w:lineRule="auto" w:line="276" w:before="120" w:after="120"/>
        <w:contextualSpacing/>
        <w:jc w:val="both"/>
        <w:rPr>
          <w:rFonts w:cs="Arial"/>
          <w:color w:val="000000" w:themeColor="text1"/>
          <w:sz w:val="24"/>
        </w:rPr>
      </w:pPr>
      <w:r>
        <w:rPr>
          <w:rFonts w:cs="Arial"/>
          <w:color w:val="000000" w:themeColor="text1"/>
          <w:sz w:val="22"/>
          <w:szCs w:val="22"/>
        </w:rPr>
        <w:t>O descumprimento do subitem acima implicará a inabilitação do fornecedor, exceto se a consulta aos sítios eletrônicos oficiais emissores de certidões lograr êxito em encontrar a(s) certidão(ões) válida(s).</w:t>
      </w:r>
    </w:p>
    <w:p>
      <w:pPr>
        <w:pStyle w:val="ListParagraph"/>
        <w:numPr>
          <w:ilvl w:val="1"/>
          <w:numId w:val="1"/>
        </w:numPr>
        <w:spacing w:lineRule="auto" w:line="276" w:before="120" w:after="120"/>
        <w:ind w:left="792" w:hanging="574"/>
        <w:contextualSpacing/>
        <w:jc w:val="both"/>
        <w:rPr>
          <w:rFonts w:cs="Arial"/>
          <w:color w:val="000000" w:themeColor="text1"/>
          <w:sz w:val="24"/>
        </w:rPr>
      </w:pPr>
      <w:r>
        <w:rPr>
          <w:rFonts w:cs="Arial"/>
          <w:color w:val="000000" w:themeColor="text1"/>
          <w:sz w:val="22"/>
          <w:szCs w:val="22"/>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ListParagraph"/>
        <w:numPr>
          <w:ilvl w:val="1"/>
          <w:numId w:val="1"/>
        </w:numPr>
        <w:spacing w:lineRule="auto" w:line="276" w:before="120" w:after="120"/>
        <w:ind w:left="792" w:hanging="574"/>
        <w:contextualSpacing/>
        <w:jc w:val="both"/>
        <w:rPr>
          <w:rFonts w:cs="Arial"/>
          <w:color w:val="000000" w:themeColor="text1"/>
          <w:sz w:val="24"/>
        </w:rPr>
      </w:pPr>
      <w:r>
        <w:rPr>
          <w:rFonts w:cs="Arial"/>
          <w:color w:val="000000" w:themeColor="text1"/>
          <w:sz w:val="22"/>
          <w:szCs w:val="22"/>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1"/>
        </w:numPr>
        <w:spacing w:lineRule="auto" w:line="276" w:before="120" w:after="120"/>
        <w:ind w:left="792" w:hanging="574"/>
        <w:contextualSpacing/>
        <w:jc w:val="both"/>
        <w:rPr>
          <w:rFonts w:ascii="Arial" w:hAnsi="Arial"/>
          <w:sz w:val="22"/>
          <w:szCs w:val="22"/>
        </w:rPr>
      </w:pPr>
      <w:r>
        <w:rPr>
          <w:rFonts w:cs="Arial"/>
          <w:bCs/>
          <w:sz w:val="22"/>
          <w:szCs w:val="22"/>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r>
        <w:rPr>
          <w:rFonts w:cs="Arial"/>
          <w:i/>
          <w:color w:val="FF0000"/>
          <w:sz w:val="22"/>
          <w:szCs w:val="22"/>
        </w:rPr>
        <w:t>.</w:t>
      </w:r>
    </w:p>
    <w:p>
      <w:pPr>
        <w:pStyle w:val="ListParagraph"/>
        <w:numPr>
          <w:ilvl w:val="1"/>
          <w:numId w:val="1"/>
        </w:numPr>
        <w:spacing w:lineRule="auto" w:line="276" w:before="120" w:after="120"/>
        <w:ind w:left="792" w:hanging="574"/>
        <w:contextualSpacing/>
        <w:jc w:val="both"/>
        <w:rPr>
          <w:rFonts w:cs="Arial"/>
          <w:bCs/>
          <w:sz w:val="24"/>
        </w:rPr>
      </w:pPr>
      <w:r>
        <w:rPr>
          <w:rFonts w:cs="Arial"/>
          <w:bCs/>
          <w:sz w:val="22"/>
          <w:szCs w:val="22"/>
        </w:rPr>
        <w:t xml:space="preserve">Havendo </w:t>
      </w:r>
      <w:r>
        <w:rPr>
          <w:rFonts w:cs="Arial"/>
          <w:iCs/>
          <w:sz w:val="22"/>
          <w:szCs w:val="22"/>
          <w:lang w:eastAsia="en-US"/>
        </w:rPr>
        <w:t>necessidade</w:t>
      </w:r>
      <w:r>
        <w:rPr>
          <w:rFonts w:cs="Arial"/>
          <w:bCs/>
          <w:sz w:val="22"/>
          <w:szCs w:val="22"/>
        </w:rPr>
        <w:t xml:space="preserve"> de analisar minuciosamente os documentos exigidos, a sessão será suspensa, sendo informada a nova data e horário para a sua continuidade.</w:t>
      </w:r>
    </w:p>
    <w:p>
      <w:pPr>
        <w:pStyle w:val="ListParagraph"/>
        <w:numPr>
          <w:ilvl w:val="1"/>
          <w:numId w:val="1"/>
        </w:numPr>
        <w:spacing w:lineRule="auto" w:line="276" w:before="120" w:after="120"/>
        <w:ind w:left="792" w:hanging="574"/>
        <w:contextualSpacing/>
        <w:jc w:val="both"/>
        <w:rPr>
          <w:rFonts w:cs="Arial"/>
          <w:color w:val="000000"/>
          <w:sz w:val="24"/>
        </w:rPr>
      </w:pPr>
      <w:r>
        <w:rPr>
          <w:rFonts w:cs="Arial"/>
          <w:color w:val="000000"/>
          <w:sz w:val="22"/>
          <w:szCs w:val="22"/>
        </w:rPr>
        <w:t xml:space="preserve">Será inabilitado o fornecedor que não comprovar sua habilitação, seja por não apresentar </w:t>
      </w:r>
      <w:r>
        <w:rPr>
          <w:rFonts w:cs="Arial"/>
          <w:iCs/>
          <w:sz w:val="22"/>
          <w:szCs w:val="22"/>
          <w:lang w:eastAsia="en-US"/>
        </w:rPr>
        <w:t>quaisquer</w:t>
      </w:r>
      <w:r>
        <w:rPr>
          <w:rFonts w:cs="Arial"/>
          <w:color w:val="000000"/>
          <w:sz w:val="22"/>
          <w:szCs w:val="22"/>
        </w:rPr>
        <w:t xml:space="preserve"> dos </w:t>
      </w:r>
      <w:r>
        <w:rPr>
          <w:rFonts w:cs="Arial"/>
          <w:bCs/>
          <w:sz w:val="22"/>
          <w:szCs w:val="22"/>
        </w:rPr>
        <w:t>documentos</w:t>
      </w:r>
      <w:r>
        <w:rPr>
          <w:rFonts w:cs="Arial"/>
          <w:color w:val="000000"/>
          <w:sz w:val="22"/>
          <w:szCs w:val="22"/>
        </w:rPr>
        <w:t xml:space="preserve"> exigidos, ou apresentá-los em desacordo com o estabelecido neste Aviso de Contratação Direta.</w:t>
      </w:r>
    </w:p>
    <w:p>
      <w:pPr>
        <w:pStyle w:val="ListParagraph"/>
        <w:numPr>
          <w:ilvl w:val="2"/>
          <w:numId w:val="1"/>
        </w:numPr>
        <w:spacing w:lineRule="auto" w:line="276" w:before="120" w:after="120"/>
        <w:contextualSpacing/>
        <w:jc w:val="both"/>
        <w:rPr>
          <w:rFonts w:cs="Arial"/>
          <w:color w:val="000000"/>
          <w:sz w:val="24"/>
        </w:rPr>
      </w:pPr>
      <w:r>
        <w:rPr>
          <w:rFonts w:cs="Arial"/>
          <w:color w:val="000000"/>
          <w:sz w:val="22"/>
          <w:szCs w:val="22"/>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ListParagraph"/>
        <w:numPr>
          <w:ilvl w:val="1"/>
          <w:numId w:val="1"/>
        </w:numPr>
        <w:spacing w:lineRule="auto" w:line="276" w:before="120" w:after="120"/>
        <w:ind w:left="792" w:hanging="574"/>
        <w:contextualSpacing/>
        <w:jc w:val="both"/>
        <w:rPr>
          <w:rFonts w:ascii="Arial" w:hAnsi="Arial"/>
          <w:sz w:val="22"/>
          <w:szCs w:val="22"/>
        </w:rPr>
      </w:pPr>
      <w:r>
        <w:rPr>
          <w:rFonts w:cs="Arial"/>
          <w:iCs/>
          <w:sz w:val="22"/>
          <w:szCs w:val="22"/>
          <w:lang w:eastAsia="en-US"/>
        </w:rPr>
        <w:t>Constatado o atendimento às exigências de habilitação, o fornecedor será habilitado</w:t>
      </w:r>
    </w:p>
    <w:p>
      <w:pPr>
        <w:pStyle w:val="Ttulo1"/>
        <w:numPr>
          <w:ilvl w:val="0"/>
          <w:numId w:val="1"/>
        </w:numPr>
        <w:rPr>
          <w:rFonts w:ascii="Arial" w:hAnsi="Arial" w:cs="Arial"/>
          <w:color w:val="00000A"/>
          <w:sz w:val="24"/>
          <w:szCs w:val="24"/>
        </w:rPr>
      </w:pPr>
      <w:bookmarkStart w:id="9" w:name="_Toc104906824"/>
      <w:bookmarkEnd w:id="9"/>
      <w:r>
        <w:rPr>
          <w:rFonts w:cs="Arial" w:ascii="Arial" w:hAnsi="Arial"/>
          <w:b/>
          <w:bCs/>
          <w:color w:val="00000A"/>
          <w:sz w:val="22"/>
          <w:szCs w:val="22"/>
        </w:rPr>
        <w:t>CONTRATAÇÃO</w:t>
      </w:r>
    </w:p>
    <w:p>
      <w:pPr>
        <w:pStyle w:val="Normal"/>
        <w:numPr>
          <w:ilvl w:val="1"/>
          <w:numId w:val="1"/>
        </w:numPr>
        <w:spacing w:lineRule="auto" w:line="276" w:before="120" w:after="120"/>
        <w:ind w:left="857" w:hanging="432"/>
        <w:jc w:val="both"/>
        <w:rPr>
          <w:rFonts w:ascii="Arial" w:hAnsi="Arial"/>
          <w:sz w:val="22"/>
          <w:szCs w:val="22"/>
        </w:rPr>
      </w:pPr>
      <w:r>
        <w:rPr>
          <w:rFonts w:eastAsia="Arial" w:cs="Arial"/>
          <w:color w:val="000000"/>
          <w:sz w:val="22"/>
          <w:szCs w:val="22"/>
        </w:rPr>
        <w:t>Após a homologação e adjudicação, caso se conclua pela contratação, será firmado Termo de Contrato ou emitido instrumento equivalente.</w:t>
      </w:r>
    </w:p>
    <w:p>
      <w:pPr>
        <w:pStyle w:val="Normal"/>
        <w:numPr>
          <w:ilvl w:val="1"/>
          <w:numId w:val="1"/>
        </w:numPr>
        <w:spacing w:lineRule="auto" w:line="276" w:before="120" w:after="120"/>
        <w:ind w:left="425" w:hanging="0"/>
        <w:jc w:val="both"/>
        <w:rPr>
          <w:rFonts w:ascii="Arial" w:hAnsi="Arial"/>
          <w:sz w:val="22"/>
          <w:szCs w:val="22"/>
        </w:rPr>
      </w:pPr>
      <w:r>
        <w:rPr>
          <w:rFonts w:eastAsia="Arial" w:cs="Arial"/>
          <w:color w:val="000000"/>
          <w:sz w:val="22"/>
          <w:szCs w:val="22"/>
        </w:rPr>
        <w:t xml:space="preserve">O adjudicatário terá o prazo de </w:t>
      </w:r>
      <w:r>
        <w:rPr>
          <w:rFonts w:eastAsia="Arial" w:cs="Arial"/>
          <w:b/>
          <w:bCs/>
          <w:color w:val="000000"/>
          <w:sz w:val="22"/>
          <w:szCs w:val="22"/>
          <w:u w:val="single"/>
        </w:rPr>
        <w:t>05 (cinco) dias úteis</w:t>
      </w:r>
      <w:r>
        <w:rPr>
          <w:rFonts w:eastAsia="Arial" w:cs="Arial"/>
          <w:color w:val="000000"/>
          <w:sz w:val="22"/>
          <w:szCs w:val="22"/>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Aviso de Contratação Direta. </w:t>
      </w:r>
    </w:p>
    <w:p>
      <w:pPr>
        <w:pStyle w:val="Normal"/>
        <w:numPr>
          <w:ilvl w:val="2"/>
          <w:numId w:val="1"/>
        </w:numPr>
        <w:spacing w:lineRule="auto" w:line="276" w:before="120" w:after="120"/>
        <w:jc w:val="both"/>
        <w:rPr>
          <w:rFonts w:eastAsia="Arial" w:cs="Arial"/>
          <w:color w:val="000000"/>
          <w:sz w:val="24"/>
        </w:rPr>
      </w:pPr>
      <w:r>
        <w:rPr>
          <w:rFonts w:eastAsia="Arial" w:cs="Arial"/>
          <w:color w:val="000000"/>
          <w:sz w:val="22"/>
          <w:szCs w:val="22"/>
        </w:rPr>
        <w:t xml:space="preserve">O prazo previsto para assinatura do contrato ou aceitação da nota de empenho ou instrumento equivalente poderá ser prorrogado </w:t>
      </w:r>
      <w:r>
        <w:rPr>
          <w:rFonts w:cs="Arial"/>
          <w:bCs/>
          <w:sz w:val="22"/>
          <w:szCs w:val="22"/>
        </w:rPr>
        <w:t>1 (uma) vez</w:t>
      </w:r>
      <w:r>
        <w:rPr>
          <w:rFonts w:eastAsia="Arial" w:cs="Arial"/>
          <w:sz w:val="22"/>
          <w:szCs w:val="22"/>
        </w:rPr>
        <w:t xml:space="preserve">, </w:t>
      </w:r>
      <w:r>
        <w:rPr>
          <w:rFonts w:eastAsia="Arial" w:cs="Arial"/>
          <w:color w:val="000000"/>
          <w:sz w:val="22"/>
          <w:szCs w:val="22"/>
        </w:rPr>
        <w:t>por igual período, por solicitação justificada do adjudicatário e aceita pela Administração.</w:t>
      </w:r>
    </w:p>
    <w:p>
      <w:pPr>
        <w:pStyle w:val="Normal"/>
        <w:numPr>
          <w:ilvl w:val="1"/>
          <w:numId w:val="1"/>
        </w:numPr>
        <w:spacing w:lineRule="auto" w:line="276" w:before="120" w:after="120"/>
        <w:ind w:left="425" w:hanging="0"/>
        <w:jc w:val="both"/>
        <w:rPr>
          <w:rFonts w:eastAsia="Arial" w:cs="Arial"/>
          <w:i/>
          <w:i/>
          <w:color w:val="FF0000"/>
          <w:sz w:val="24"/>
        </w:rPr>
      </w:pPr>
      <w:r>
        <w:rPr>
          <w:rFonts w:eastAsia="Arial" w:cs="Arial"/>
          <w:i w:val="false"/>
          <w:iCs w:val="false"/>
          <w:color w:val="000000"/>
          <w:sz w:val="22"/>
          <w:szCs w:val="22"/>
        </w:rPr>
        <w:t>O Aceite da Nota de Empenho ou do instrumento equivalente, emitida à empresa adjudicada, implica no reconhecimento de que:</w:t>
      </w:r>
    </w:p>
    <w:p>
      <w:pPr>
        <w:pStyle w:val="Normal"/>
        <w:numPr>
          <w:ilvl w:val="2"/>
          <w:numId w:val="1"/>
        </w:numPr>
        <w:spacing w:lineRule="auto" w:line="276" w:before="120" w:after="120"/>
        <w:jc w:val="both"/>
        <w:rPr>
          <w:rFonts w:eastAsia="Arial" w:cs="Arial"/>
          <w:i/>
          <w:i/>
          <w:color w:val="FF0000"/>
          <w:sz w:val="24"/>
        </w:rPr>
      </w:pPr>
      <w:r>
        <w:rPr>
          <w:rFonts w:eastAsia="Arial" w:cs="Arial"/>
          <w:i w:val="false"/>
          <w:iCs w:val="false"/>
          <w:color w:val="000000"/>
          <w:sz w:val="22"/>
          <w:szCs w:val="22"/>
        </w:rPr>
        <w:t>referida Nota está substituindo o contrato, aplicando-se à relação de negócios ali estabelecida as disposições da Lei nº 14.133, de 2021;</w:t>
      </w:r>
    </w:p>
    <w:p>
      <w:pPr>
        <w:pStyle w:val="Normal"/>
        <w:numPr>
          <w:ilvl w:val="2"/>
          <w:numId w:val="1"/>
        </w:numPr>
        <w:spacing w:lineRule="auto" w:line="276" w:before="120" w:after="120"/>
        <w:jc w:val="both"/>
        <w:rPr>
          <w:rFonts w:eastAsia="Arial" w:cs="Arial"/>
          <w:i/>
          <w:i/>
          <w:color w:val="FF0000"/>
          <w:sz w:val="24"/>
        </w:rPr>
      </w:pPr>
      <w:r>
        <w:rPr>
          <w:rFonts w:eastAsia="Arial" w:cs="Arial"/>
          <w:i w:val="false"/>
          <w:iCs w:val="false"/>
          <w:color w:val="000000"/>
          <w:sz w:val="22"/>
          <w:szCs w:val="22"/>
        </w:rPr>
        <w:t>a contratada se vincula à sua proposta e às previsões contidas no Aviso de Contratação Direta e seus anexos;</w:t>
      </w:r>
    </w:p>
    <w:p>
      <w:pPr>
        <w:pStyle w:val="Normal"/>
        <w:numPr>
          <w:ilvl w:val="2"/>
          <w:numId w:val="1"/>
        </w:numPr>
        <w:spacing w:lineRule="auto" w:line="276" w:before="120" w:after="120"/>
        <w:jc w:val="both"/>
        <w:rPr>
          <w:rFonts w:eastAsia="Arial" w:cs="Arial"/>
          <w:i/>
          <w:i/>
          <w:color w:val="FF0000"/>
          <w:sz w:val="24"/>
        </w:rPr>
      </w:pPr>
      <w:r>
        <w:rPr>
          <w:rFonts w:eastAsia="Arial" w:cs="Arial"/>
          <w:i w:val="false"/>
          <w:iCs w:val="false"/>
          <w:color w:val="000000"/>
          <w:sz w:val="22"/>
          <w:szCs w:val="22"/>
        </w:rPr>
        <w:t>a contratada reconhece que as hipóteses de rescisão são aquelas previstas nos artigos 137 e 138 da Lei nº 14.133/21 e reconhece os direitos da Administração previstos nos artigos 137 a 139 da mesma Lei.</w:t>
      </w:r>
    </w:p>
    <w:p>
      <w:pPr>
        <w:pStyle w:val="Normal"/>
        <w:numPr>
          <w:ilvl w:val="1"/>
          <w:numId w:val="1"/>
        </w:numPr>
        <w:spacing w:lineRule="auto" w:line="276" w:before="120" w:after="120"/>
        <w:ind w:left="425" w:hanging="0"/>
        <w:jc w:val="both"/>
        <w:rPr>
          <w:rFonts w:ascii="Arial" w:hAnsi="Arial"/>
          <w:sz w:val="22"/>
          <w:szCs w:val="22"/>
        </w:rPr>
      </w:pPr>
      <w:r>
        <w:rPr>
          <w:rFonts w:eastAsia="Arial" w:cs="Arial"/>
          <w:color w:val="000000"/>
          <w:sz w:val="22"/>
          <w:szCs w:val="22"/>
        </w:rPr>
        <w:t xml:space="preserve">O prazo de vigência da contratação é de 12 (doze) meses prorrogável conforme previsão nos anexos a este Aviso de Contratação Direta. </w:t>
      </w:r>
    </w:p>
    <w:p>
      <w:pPr>
        <w:pStyle w:val="Normal"/>
        <w:numPr>
          <w:ilvl w:val="1"/>
          <w:numId w:val="1"/>
        </w:numPr>
        <w:spacing w:lineRule="auto" w:line="276" w:before="120" w:after="120"/>
        <w:ind w:left="425" w:hanging="0"/>
        <w:jc w:val="both"/>
        <w:rPr>
          <w:rFonts w:ascii="Arial" w:hAnsi="Arial"/>
          <w:sz w:val="22"/>
          <w:szCs w:val="22"/>
        </w:rPr>
      </w:pPr>
      <w:r>
        <w:rPr>
          <w:rFonts w:cs="Arial"/>
          <w:color w:val="000000"/>
          <w:sz w:val="22"/>
          <w:szCs w:val="22"/>
        </w:rPr>
        <w:t>Na assinatura do contrato ou do instrumento equivalente será exigida a comprovação das condições de habilitação e contratação consignadas neste aviso, que deverão ser mantidas pelo fornecedor durante a vigência do contrato.</w:t>
      </w:r>
    </w:p>
    <w:p>
      <w:pPr>
        <w:pStyle w:val="Ttulo1"/>
        <w:numPr>
          <w:ilvl w:val="0"/>
          <w:numId w:val="1"/>
        </w:numPr>
        <w:rPr>
          <w:rFonts w:ascii="Arial" w:hAnsi="Arial" w:cs="Arial"/>
          <w:color w:val="00000A"/>
          <w:sz w:val="24"/>
          <w:szCs w:val="24"/>
        </w:rPr>
      </w:pPr>
      <w:bookmarkStart w:id="10" w:name="_Toc104906825"/>
      <w:bookmarkEnd w:id="10"/>
      <w:r>
        <w:rPr>
          <w:rFonts w:cs="Arial" w:ascii="Arial" w:hAnsi="Arial"/>
          <w:b/>
          <w:bCs/>
          <w:color w:val="00000A"/>
          <w:sz w:val="22"/>
          <w:szCs w:val="22"/>
        </w:rPr>
        <w:t>SANÇÕES</w:t>
      </w:r>
    </w:p>
    <w:p>
      <w:pPr>
        <w:pStyle w:val="Normal"/>
        <w:numPr>
          <w:ilvl w:val="1"/>
          <w:numId w:val="1"/>
        </w:numPr>
        <w:spacing w:lineRule="auto" w:line="276" w:before="120" w:after="120"/>
        <w:ind w:left="857" w:hanging="432"/>
        <w:jc w:val="both"/>
        <w:rPr>
          <w:rFonts w:cs="Arial"/>
          <w:b/>
          <w:b/>
          <w:sz w:val="24"/>
        </w:rPr>
      </w:pPr>
      <w:r>
        <w:rPr>
          <w:rFonts w:cs="Arial"/>
          <w:sz w:val="22"/>
          <w:szCs w:val="22"/>
        </w:rPr>
        <w:t xml:space="preserve">Comete infração administrativa o fornecedor que cometer quaisquer das infrações previstas no art. 155 da Lei nº 14.133, de 2021, quais sejam: </w:t>
      </w:r>
    </w:p>
    <w:p>
      <w:pPr>
        <w:pStyle w:val="Normal"/>
        <w:numPr>
          <w:ilvl w:val="2"/>
          <w:numId w:val="1"/>
        </w:numPr>
        <w:spacing w:lineRule="auto" w:line="276" w:before="120" w:after="120"/>
        <w:jc w:val="both"/>
        <w:rPr>
          <w:rFonts w:cs="Arial"/>
          <w:sz w:val="24"/>
        </w:rPr>
      </w:pPr>
      <w:r>
        <w:rPr>
          <w:rFonts w:cs="Arial"/>
          <w:color w:val="000000"/>
          <w:sz w:val="22"/>
          <w:szCs w:val="22"/>
        </w:rPr>
        <w:t>dar causa à inexecução parcial do contrato</w:t>
      </w:r>
      <w:r>
        <w:rPr>
          <w:rFonts w:cs="Arial"/>
          <w:sz w:val="22"/>
          <w:szCs w:val="22"/>
        </w:rPr>
        <w:t>;</w:t>
      </w:r>
    </w:p>
    <w:p>
      <w:pPr>
        <w:pStyle w:val="Normal"/>
        <w:numPr>
          <w:ilvl w:val="2"/>
          <w:numId w:val="1"/>
        </w:numPr>
        <w:spacing w:lineRule="auto" w:line="276" w:before="120" w:after="120"/>
        <w:jc w:val="both"/>
        <w:rPr>
          <w:rFonts w:cs="Arial"/>
          <w:sz w:val="24"/>
        </w:rPr>
      </w:pPr>
      <w:r>
        <w:rPr>
          <w:rFonts w:cs="Arial"/>
          <w:color w:val="000000"/>
          <w:sz w:val="22"/>
          <w:szCs w:val="22"/>
        </w:rPr>
        <w:t>dar causa à inexecução parcial do contrato que cause grave dano à Administração, ao funcionamento dos serviços públicos ou ao interesse coletivo;</w:t>
      </w:r>
    </w:p>
    <w:p>
      <w:pPr>
        <w:pStyle w:val="Normal"/>
        <w:numPr>
          <w:ilvl w:val="2"/>
          <w:numId w:val="1"/>
        </w:numPr>
        <w:spacing w:lineRule="auto" w:line="276" w:before="120" w:after="120"/>
        <w:jc w:val="both"/>
        <w:rPr>
          <w:rFonts w:cs="Arial"/>
          <w:sz w:val="24"/>
        </w:rPr>
      </w:pPr>
      <w:r>
        <w:rPr>
          <w:rFonts w:cs="Arial"/>
          <w:color w:val="000000"/>
          <w:sz w:val="22"/>
          <w:szCs w:val="22"/>
        </w:rPr>
        <w:t>dar causa à inexecução total do contrato;</w:t>
      </w:r>
    </w:p>
    <w:p>
      <w:pPr>
        <w:pStyle w:val="Normal"/>
        <w:numPr>
          <w:ilvl w:val="2"/>
          <w:numId w:val="1"/>
        </w:numPr>
        <w:spacing w:lineRule="auto" w:line="276" w:before="120" w:after="120"/>
        <w:jc w:val="both"/>
        <w:rPr>
          <w:rFonts w:cs="Arial"/>
          <w:sz w:val="24"/>
        </w:rPr>
      </w:pPr>
      <w:r>
        <w:rPr>
          <w:rFonts w:cs="Arial"/>
          <w:color w:val="000000"/>
          <w:sz w:val="22"/>
          <w:szCs w:val="22"/>
        </w:rPr>
        <w:t>deixar de entregar a documentação exigida para o certame;</w:t>
      </w:r>
    </w:p>
    <w:p>
      <w:pPr>
        <w:pStyle w:val="Normal"/>
        <w:numPr>
          <w:ilvl w:val="2"/>
          <w:numId w:val="1"/>
        </w:numPr>
        <w:spacing w:lineRule="auto" w:line="276" w:before="120" w:after="120"/>
        <w:jc w:val="both"/>
        <w:rPr>
          <w:rFonts w:cs="Arial"/>
          <w:sz w:val="24"/>
        </w:rPr>
      </w:pPr>
      <w:r>
        <w:rPr>
          <w:rFonts w:cs="Arial"/>
          <w:color w:val="000000"/>
          <w:sz w:val="22"/>
          <w:szCs w:val="22"/>
        </w:rPr>
        <w:t>não manter a proposta, salvo em decorrência de fato superveniente devidamente justificado;</w:t>
      </w:r>
    </w:p>
    <w:p>
      <w:pPr>
        <w:pStyle w:val="Normal"/>
        <w:numPr>
          <w:ilvl w:val="2"/>
          <w:numId w:val="1"/>
        </w:numPr>
        <w:spacing w:lineRule="auto" w:line="276" w:before="120" w:after="120"/>
        <w:jc w:val="both"/>
        <w:rPr>
          <w:rFonts w:cs="Arial"/>
          <w:sz w:val="24"/>
        </w:rPr>
      </w:pPr>
      <w:r>
        <w:rPr>
          <w:rFonts w:cs="Arial"/>
          <w:color w:val="000000"/>
          <w:sz w:val="22"/>
          <w:szCs w:val="22"/>
        </w:rPr>
        <w:t>não celebrar o contrato ou não entregar a documentação exigida para a contratação, quando convocado dentro do prazo de validade de sua proposta;</w:t>
      </w:r>
    </w:p>
    <w:p>
      <w:pPr>
        <w:pStyle w:val="Normal"/>
        <w:numPr>
          <w:ilvl w:val="2"/>
          <w:numId w:val="1"/>
        </w:numPr>
        <w:spacing w:lineRule="auto" w:line="276" w:before="120" w:after="120"/>
        <w:jc w:val="both"/>
        <w:rPr>
          <w:rFonts w:cs="Arial"/>
          <w:sz w:val="24"/>
        </w:rPr>
      </w:pPr>
      <w:r>
        <w:rPr>
          <w:rFonts w:cs="Arial"/>
          <w:color w:val="000000"/>
          <w:sz w:val="22"/>
          <w:szCs w:val="22"/>
        </w:rPr>
        <w:t> </w:t>
      </w:r>
      <w:r>
        <w:rPr>
          <w:rFonts w:cs="Arial"/>
          <w:color w:val="000000"/>
          <w:sz w:val="22"/>
          <w:szCs w:val="22"/>
        </w:rPr>
        <w:t>ensejar o retardamento da execução ou da entrega do objeto da licitação sem motivo justificado;</w:t>
      </w:r>
    </w:p>
    <w:p>
      <w:pPr>
        <w:pStyle w:val="Normal"/>
        <w:numPr>
          <w:ilvl w:val="2"/>
          <w:numId w:val="1"/>
        </w:numPr>
        <w:spacing w:lineRule="auto" w:line="276" w:before="120" w:after="120"/>
        <w:jc w:val="both"/>
        <w:rPr>
          <w:rFonts w:cs="Arial"/>
          <w:sz w:val="24"/>
        </w:rPr>
      </w:pPr>
      <w:r>
        <w:rPr>
          <w:rFonts w:cs="Arial"/>
          <w:color w:val="000000"/>
          <w:sz w:val="22"/>
          <w:szCs w:val="22"/>
        </w:rPr>
        <w:t>apresentar declaração ou documentação falsa exigida para o certame ou prestar declaração falsa durante a dispensa eletrônica ou a execução do contrato;</w:t>
      </w:r>
    </w:p>
    <w:p>
      <w:pPr>
        <w:pStyle w:val="Normal"/>
        <w:numPr>
          <w:ilvl w:val="2"/>
          <w:numId w:val="1"/>
        </w:numPr>
        <w:spacing w:lineRule="auto" w:line="276" w:before="120" w:after="120"/>
        <w:jc w:val="both"/>
        <w:rPr>
          <w:rFonts w:cs="Arial"/>
          <w:sz w:val="24"/>
        </w:rPr>
      </w:pPr>
      <w:r>
        <w:rPr>
          <w:rFonts w:cs="Arial"/>
          <w:color w:val="000000"/>
          <w:sz w:val="22"/>
          <w:szCs w:val="22"/>
        </w:rPr>
        <w:t>fraudar a dispensa eletrônica ou praticar ato fraudulento na execução do contrato;</w:t>
      </w:r>
    </w:p>
    <w:p>
      <w:pPr>
        <w:pStyle w:val="Normal"/>
        <w:numPr>
          <w:ilvl w:val="2"/>
          <w:numId w:val="1"/>
        </w:numPr>
        <w:spacing w:lineRule="auto" w:line="276" w:before="120" w:after="120"/>
        <w:jc w:val="both"/>
        <w:rPr>
          <w:rFonts w:cs="Arial"/>
          <w:sz w:val="24"/>
        </w:rPr>
      </w:pPr>
      <w:r>
        <w:rPr>
          <w:rFonts w:cs="Arial"/>
          <w:color w:val="000000"/>
          <w:sz w:val="22"/>
          <w:szCs w:val="22"/>
        </w:rPr>
        <w:t> </w:t>
      </w:r>
      <w:r>
        <w:rPr>
          <w:rFonts w:cs="Arial"/>
          <w:color w:val="000000"/>
          <w:sz w:val="22"/>
          <w:szCs w:val="22"/>
        </w:rPr>
        <w:t>comportar-se de modo inidôneo ou cometer fraude de qualquer natureza;</w:t>
      </w:r>
    </w:p>
    <w:p>
      <w:pPr>
        <w:pStyle w:val="ListParagraph"/>
        <w:numPr>
          <w:ilvl w:val="3"/>
          <w:numId w:val="1"/>
        </w:numPr>
        <w:spacing w:lineRule="auto" w:line="276" w:before="120" w:after="120"/>
        <w:contextualSpacing/>
        <w:jc w:val="both"/>
        <w:rPr>
          <w:rFonts w:cs="Arial"/>
          <w:sz w:val="24"/>
        </w:rPr>
      </w:pPr>
      <w:r>
        <w:rPr>
          <w:rFonts w:cs="Arial"/>
          <w:sz w:val="22"/>
          <w:szCs w:val="22"/>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spacing w:lineRule="auto" w:line="276" w:before="120" w:after="120"/>
        <w:jc w:val="both"/>
        <w:rPr>
          <w:rFonts w:cs="Arial"/>
          <w:sz w:val="24"/>
        </w:rPr>
      </w:pPr>
      <w:r>
        <w:rPr>
          <w:rFonts w:cs="Arial"/>
          <w:color w:val="000000"/>
          <w:sz w:val="22"/>
          <w:szCs w:val="22"/>
        </w:rPr>
        <w:t> </w:t>
      </w:r>
      <w:r>
        <w:rPr>
          <w:rFonts w:cs="Arial"/>
          <w:color w:val="000000"/>
          <w:sz w:val="22"/>
          <w:szCs w:val="22"/>
        </w:rPr>
        <w:t>praticar atos ilícitos com vistas a frustrar os objetivos deste certame.</w:t>
      </w:r>
    </w:p>
    <w:p>
      <w:pPr>
        <w:pStyle w:val="Normal"/>
        <w:numPr>
          <w:ilvl w:val="2"/>
          <w:numId w:val="1"/>
        </w:numPr>
        <w:spacing w:lineRule="auto" w:line="276" w:before="120" w:after="120"/>
        <w:jc w:val="both"/>
        <w:rPr/>
      </w:pPr>
      <w:r>
        <w:rPr>
          <w:rFonts w:cs="Arial"/>
          <w:color w:val="000000"/>
          <w:sz w:val="22"/>
          <w:szCs w:val="22"/>
        </w:rPr>
        <w:t>praticar ato lesivo previsto no </w:t>
      </w:r>
      <w:r>
        <w:fldChar w:fldCharType="begin"/>
      </w:r>
      <w:r>
        <w:instrText> HYPERLINK "http://www.planalto.gov.br/ccivil_03/_Ato2011-2014/2013/Lei/L12846.htm" \l "art5"</w:instrText>
      </w:r>
      <w:r>
        <w:fldChar w:fldCharType="separate"/>
      </w:r>
      <w:r>
        <w:rPr>
          <w:rStyle w:val="LinkdaInternet"/>
          <w:rFonts w:cs="Arial"/>
          <w:color w:val="000000"/>
          <w:sz w:val="22"/>
          <w:szCs w:val="22"/>
        </w:rPr>
        <w:t>art. 5º da Lei nº 12.846, de 1º de agosto de 2013.</w:t>
      </w:r>
      <w:r>
        <w:fldChar w:fldCharType="end"/>
      </w:r>
    </w:p>
    <w:p>
      <w:pPr>
        <w:pStyle w:val="Normal"/>
        <w:numPr>
          <w:ilvl w:val="1"/>
          <w:numId w:val="1"/>
        </w:numPr>
        <w:spacing w:lineRule="auto" w:line="276" w:before="120" w:after="120"/>
        <w:ind w:left="425" w:hanging="0"/>
        <w:jc w:val="both"/>
        <w:rPr>
          <w:rFonts w:cs="Arial"/>
          <w:b/>
          <w:b/>
          <w:sz w:val="24"/>
        </w:rPr>
      </w:pPr>
      <w:r>
        <w:rPr>
          <w:rFonts w:cs="Arial"/>
          <w:sz w:val="22"/>
          <w:szCs w:val="22"/>
        </w:rPr>
        <w:t>O fornecedor que cometer qualquer das infrações discriminadas nos subitens anteriores ficará sujeito, sem prejuízo da responsabilidade civil e criminal, às seguintes sanções:</w:t>
      </w:r>
    </w:p>
    <w:p>
      <w:pPr>
        <w:pStyle w:val="Normal"/>
        <w:numPr>
          <w:ilvl w:val="2"/>
          <w:numId w:val="5"/>
        </w:numPr>
        <w:spacing w:lineRule="auto" w:line="276" w:before="120" w:after="120"/>
        <w:jc w:val="both"/>
        <w:rPr>
          <w:rFonts w:cs="Arial"/>
          <w:sz w:val="24"/>
        </w:rPr>
      </w:pPr>
      <w:r>
        <w:rPr>
          <w:rFonts w:cs="Arial"/>
          <w:sz w:val="22"/>
          <w:szCs w:val="22"/>
        </w:rPr>
        <w:t>Advertência pela falta do subitem 8.1.1 deste Aviso de Contratação Direta, quando não se justificar a imposição de penalidade mais grave;</w:t>
      </w:r>
    </w:p>
    <w:p>
      <w:pPr>
        <w:pStyle w:val="Normal"/>
        <w:numPr>
          <w:ilvl w:val="2"/>
          <w:numId w:val="5"/>
        </w:numPr>
        <w:spacing w:lineRule="auto" w:line="276" w:before="120" w:after="120"/>
        <w:jc w:val="both"/>
        <w:rPr>
          <w:color w:val="000000"/>
        </w:rPr>
      </w:pPr>
      <w:r>
        <w:rPr>
          <w:rFonts w:cs="Arial"/>
          <w:color w:val="000000"/>
          <w:sz w:val="22"/>
          <w:szCs w:val="22"/>
        </w:rPr>
        <w:t>Multa de 10% (dez por cento) sobre o valor estimado do(s) item(s) prejudicado(s) pela conduta do fornecedor, por qualquer das infrações dos subitens 8.1.1 a 8.1.12;</w:t>
      </w:r>
    </w:p>
    <w:p>
      <w:pPr>
        <w:pStyle w:val="Normal"/>
        <w:numPr>
          <w:ilvl w:val="2"/>
          <w:numId w:val="5"/>
        </w:numPr>
        <w:spacing w:lineRule="auto" w:line="276" w:before="120" w:after="120"/>
        <w:jc w:val="both"/>
        <w:rPr>
          <w:rFonts w:cs="Arial"/>
          <w:sz w:val="24"/>
        </w:rPr>
      </w:pPr>
      <w:r>
        <w:rPr>
          <w:rFonts w:cs="Arial"/>
          <w:color w:val="000000"/>
          <w:sz w:val="22"/>
          <w:szCs w:val="22"/>
        </w:rPr>
        <w:t>Impedimento de licitar e contratar</w:t>
      </w:r>
      <w:r>
        <w:rPr>
          <w:rFonts w:cs="Arial"/>
          <w:sz w:val="22"/>
          <w:szCs w:val="22"/>
        </w:rPr>
        <w:t xml:space="preserve"> </w:t>
      </w:r>
      <w:r>
        <w:rPr>
          <w:rFonts w:cs="Arial"/>
          <w:color w:val="000000"/>
          <w:sz w:val="22"/>
          <w:szCs w:val="22"/>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Arial"/>
          <w:sz w:val="22"/>
          <w:szCs w:val="22"/>
        </w:rPr>
        <w:t>;</w:t>
      </w:r>
    </w:p>
    <w:p>
      <w:pPr>
        <w:pStyle w:val="Normal"/>
        <w:numPr>
          <w:ilvl w:val="2"/>
          <w:numId w:val="5"/>
        </w:numPr>
        <w:spacing w:lineRule="auto" w:line="276" w:before="120" w:after="120"/>
        <w:jc w:val="both"/>
        <w:rPr>
          <w:rFonts w:cs="Arial"/>
          <w:sz w:val="24"/>
        </w:rPr>
      </w:pPr>
      <w:r>
        <w:rPr>
          <w:rFonts w:cs="Arial"/>
          <w:color w:val="000000"/>
          <w:sz w:val="22"/>
          <w:szCs w:val="22"/>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Arial"/>
          <w:sz w:val="22"/>
          <w:szCs w:val="22"/>
        </w:rPr>
        <w:t>;</w:t>
      </w:r>
    </w:p>
    <w:p>
      <w:pPr>
        <w:pStyle w:val="Normal"/>
        <w:numPr>
          <w:ilvl w:val="1"/>
          <w:numId w:val="1"/>
        </w:numPr>
        <w:spacing w:lineRule="auto" w:line="276" w:before="120" w:after="120"/>
        <w:jc w:val="both"/>
        <w:rPr>
          <w:rFonts w:cs="Arial"/>
          <w:bCs/>
          <w:sz w:val="24"/>
        </w:rPr>
      </w:pPr>
      <w:r>
        <w:rPr>
          <w:rFonts w:cs="Arial"/>
          <w:bCs/>
          <w:sz w:val="22"/>
          <w:szCs w:val="22"/>
        </w:rPr>
        <w:t>Na aplicação das sanções serão considerados:</w:t>
      </w:r>
    </w:p>
    <w:p>
      <w:pPr>
        <w:pStyle w:val="Normal"/>
        <w:numPr>
          <w:ilvl w:val="2"/>
          <w:numId w:val="1"/>
        </w:numPr>
        <w:spacing w:lineRule="auto" w:line="276" w:before="120" w:after="120"/>
        <w:jc w:val="both"/>
        <w:rPr>
          <w:rFonts w:cs="Arial"/>
          <w:bCs/>
          <w:sz w:val="24"/>
        </w:rPr>
      </w:pPr>
      <w:r>
        <w:rPr>
          <w:rFonts w:cs="Arial"/>
          <w:bCs/>
          <w:sz w:val="22"/>
          <w:szCs w:val="22"/>
        </w:rPr>
        <w:t>a natureza e a gravidade da infração cometida;</w:t>
      </w:r>
    </w:p>
    <w:p>
      <w:pPr>
        <w:pStyle w:val="Normal"/>
        <w:numPr>
          <w:ilvl w:val="2"/>
          <w:numId w:val="1"/>
        </w:numPr>
        <w:spacing w:lineRule="auto" w:line="276" w:before="120" w:after="120"/>
        <w:jc w:val="both"/>
        <w:rPr>
          <w:rFonts w:cs="Arial"/>
          <w:bCs/>
          <w:sz w:val="24"/>
        </w:rPr>
      </w:pPr>
      <w:r>
        <w:rPr>
          <w:rFonts w:cs="Arial"/>
          <w:bCs/>
          <w:sz w:val="22"/>
          <w:szCs w:val="22"/>
        </w:rPr>
        <w:t>as peculiaridades do caso concreto;</w:t>
      </w:r>
    </w:p>
    <w:p>
      <w:pPr>
        <w:pStyle w:val="Normal"/>
        <w:numPr>
          <w:ilvl w:val="2"/>
          <w:numId w:val="1"/>
        </w:numPr>
        <w:spacing w:lineRule="auto" w:line="276" w:before="120" w:after="120"/>
        <w:jc w:val="both"/>
        <w:rPr>
          <w:rFonts w:cs="Arial"/>
          <w:bCs/>
          <w:sz w:val="24"/>
        </w:rPr>
      </w:pPr>
      <w:r>
        <w:rPr>
          <w:rFonts w:cs="Arial"/>
          <w:bCs/>
          <w:sz w:val="22"/>
          <w:szCs w:val="22"/>
        </w:rPr>
        <w:t>as circunstâncias agravantes ou atenuantes;</w:t>
      </w:r>
    </w:p>
    <w:p>
      <w:pPr>
        <w:pStyle w:val="Normal"/>
        <w:numPr>
          <w:ilvl w:val="2"/>
          <w:numId w:val="1"/>
        </w:numPr>
        <w:spacing w:lineRule="auto" w:line="276" w:before="120" w:after="120"/>
        <w:jc w:val="both"/>
        <w:rPr>
          <w:rFonts w:cs="Arial"/>
          <w:bCs/>
          <w:sz w:val="24"/>
        </w:rPr>
      </w:pPr>
      <w:r>
        <w:rPr>
          <w:rFonts w:cs="Arial"/>
          <w:bCs/>
          <w:sz w:val="22"/>
          <w:szCs w:val="22"/>
        </w:rPr>
        <w:t>os danos que dela provierem para a Administração Pública;</w:t>
      </w:r>
    </w:p>
    <w:p>
      <w:pPr>
        <w:pStyle w:val="Normal"/>
        <w:numPr>
          <w:ilvl w:val="2"/>
          <w:numId w:val="1"/>
        </w:numPr>
        <w:spacing w:lineRule="auto" w:line="276" w:before="120" w:after="120"/>
        <w:jc w:val="both"/>
        <w:rPr>
          <w:rFonts w:cs="Arial"/>
          <w:bCs/>
          <w:sz w:val="24"/>
        </w:rPr>
      </w:pPr>
      <w:r>
        <w:rPr>
          <w:rFonts w:cs="Arial"/>
          <w:bCs/>
          <w:sz w:val="22"/>
          <w:szCs w:val="22"/>
        </w:rPr>
        <w:t>a implantação ou o aperfeiçoamento de programa de integridade, conforme normas e orientações dos órgãos de controle.</w:t>
      </w:r>
    </w:p>
    <w:p>
      <w:pPr>
        <w:pStyle w:val="Normal"/>
        <w:numPr>
          <w:ilvl w:val="1"/>
          <w:numId w:val="1"/>
        </w:numPr>
        <w:spacing w:lineRule="auto" w:line="276" w:before="120" w:after="120"/>
        <w:ind w:left="425" w:hanging="0"/>
        <w:jc w:val="both"/>
        <w:rPr>
          <w:rFonts w:cs="Arial"/>
          <w:sz w:val="24"/>
        </w:rPr>
      </w:pPr>
      <w:bookmarkStart w:id="11" w:name="art156§6"/>
      <w:bookmarkStart w:id="12" w:name="art156§7"/>
      <w:bookmarkStart w:id="13" w:name="art156§8"/>
      <w:bookmarkEnd w:id="11"/>
      <w:bookmarkEnd w:id="12"/>
      <w:bookmarkEnd w:id="13"/>
      <w:r>
        <w:rPr>
          <w:rFonts w:cs="Arial"/>
          <w:sz w:val="22"/>
          <w:szCs w:val="22"/>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1"/>
        </w:numPr>
        <w:spacing w:lineRule="auto" w:line="276" w:before="120" w:after="120"/>
        <w:ind w:left="425" w:hanging="0"/>
        <w:jc w:val="both"/>
        <w:rPr>
          <w:rFonts w:cs="Arial"/>
          <w:sz w:val="24"/>
        </w:rPr>
      </w:pPr>
      <w:bookmarkStart w:id="14" w:name="art156§9"/>
      <w:bookmarkEnd w:id="14"/>
      <w:r>
        <w:rPr>
          <w:rFonts w:cs="Arial"/>
          <w:sz w:val="22"/>
          <w:szCs w:val="22"/>
        </w:rPr>
        <w:t>A aplicação das sanções previstas neste Aviso de Contratação Direta, em hipótese alguma, a obrigação de reparação integral do dano causado à Administração Pública.</w:t>
      </w:r>
    </w:p>
    <w:p>
      <w:pPr>
        <w:pStyle w:val="Normal"/>
        <w:numPr>
          <w:ilvl w:val="1"/>
          <w:numId w:val="1"/>
        </w:numPr>
        <w:spacing w:lineRule="auto" w:line="276" w:before="120" w:after="120"/>
        <w:ind w:left="425" w:hanging="0"/>
        <w:jc w:val="both"/>
        <w:rPr>
          <w:rFonts w:cs="Arial"/>
          <w:sz w:val="24"/>
        </w:rPr>
      </w:pPr>
      <w:r>
        <w:rPr>
          <w:rFonts w:cs="Arial"/>
          <w:sz w:val="22"/>
          <w:szCs w:val="22"/>
        </w:rPr>
        <w:t>A penalidade de multa pode ser aplicada cumulativamente com as demais sanções.</w:t>
      </w:r>
    </w:p>
    <w:p>
      <w:pPr>
        <w:pStyle w:val="Normal"/>
        <w:numPr>
          <w:ilvl w:val="1"/>
          <w:numId w:val="1"/>
        </w:numPr>
        <w:spacing w:lineRule="auto" w:line="276" w:before="120" w:after="120"/>
        <w:ind w:left="425" w:hanging="0"/>
        <w:jc w:val="both"/>
        <w:rPr>
          <w:rFonts w:cs="Arial"/>
          <w:sz w:val="24"/>
        </w:rPr>
      </w:pPr>
      <w:r>
        <w:rPr>
          <w:rFonts w:cs="Arial"/>
          <w:sz w:val="22"/>
          <w:szCs w:val="22"/>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1"/>
        </w:numPr>
        <w:spacing w:lineRule="auto" w:line="276" w:before="120" w:after="120"/>
        <w:ind w:left="425" w:hanging="0"/>
        <w:jc w:val="both"/>
        <w:rPr>
          <w:rFonts w:cs="Arial"/>
          <w:sz w:val="24"/>
        </w:rPr>
      </w:pPr>
      <w:r>
        <w:rPr>
          <w:rFonts w:cs="Arial"/>
          <w:sz w:val="22"/>
          <w:szCs w:val="22"/>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1"/>
        </w:numPr>
        <w:spacing w:lineRule="auto" w:line="276" w:before="120" w:after="120"/>
        <w:ind w:left="425" w:hanging="0"/>
        <w:jc w:val="both"/>
        <w:rPr>
          <w:rFonts w:cs="Arial"/>
          <w:sz w:val="24"/>
        </w:rPr>
      </w:pPr>
      <w:r>
        <w:rPr>
          <w:rFonts w:cs="Arial"/>
          <w:sz w:val="22"/>
          <w:szCs w:val="22"/>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1"/>
        </w:numPr>
        <w:spacing w:lineRule="auto" w:line="276" w:before="120" w:after="120"/>
        <w:ind w:left="425" w:hanging="0"/>
        <w:jc w:val="both"/>
        <w:rPr>
          <w:rFonts w:cs="Arial"/>
          <w:sz w:val="24"/>
        </w:rPr>
      </w:pPr>
      <w:r>
        <w:rPr>
          <w:rFonts w:cs="Arial"/>
          <w:sz w:val="22"/>
          <w:szCs w:val="22"/>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1"/>
        </w:numPr>
        <w:spacing w:lineRule="auto" w:line="276" w:before="120" w:after="120"/>
        <w:ind w:left="425" w:hanging="0"/>
        <w:jc w:val="both"/>
        <w:rPr>
          <w:rFonts w:ascii="Arial" w:hAnsi="Arial"/>
          <w:sz w:val="22"/>
          <w:szCs w:val="22"/>
        </w:rPr>
      </w:pPr>
      <w:r>
        <w:rPr>
          <w:rFonts w:cs="Arial"/>
          <w:sz w:val="22"/>
          <w:szCs w:val="22"/>
        </w:rPr>
        <w:t>As sanções por atos praticados no decorrer da contratação estão previstas nos anexos a este Aviso.</w:t>
      </w:r>
    </w:p>
    <w:p>
      <w:pPr>
        <w:pStyle w:val="Ttulo1"/>
        <w:numPr>
          <w:ilvl w:val="0"/>
          <w:numId w:val="1"/>
        </w:numPr>
        <w:rPr>
          <w:rFonts w:ascii="Arial" w:hAnsi="Arial" w:cs="Arial"/>
          <w:color w:val="00000A"/>
          <w:sz w:val="24"/>
          <w:szCs w:val="24"/>
        </w:rPr>
      </w:pPr>
      <w:bookmarkStart w:id="15" w:name="_Toc104906826"/>
      <w:bookmarkEnd w:id="15"/>
      <w:r>
        <w:rPr>
          <w:rFonts w:cs="Arial" w:ascii="Arial" w:hAnsi="Arial"/>
          <w:b/>
          <w:bCs/>
          <w:color w:val="00000A"/>
          <w:sz w:val="22"/>
          <w:szCs w:val="22"/>
        </w:rPr>
        <w:t>DAS DISPOSIÇÕES GERAIS</w:t>
      </w:r>
    </w:p>
    <w:p>
      <w:pPr>
        <w:pStyle w:val="Normal"/>
        <w:numPr>
          <w:ilvl w:val="1"/>
          <w:numId w:val="1"/>
        </w:numPr>
        <w:snapToGrid w:val="false"/>
        <w:spacing w:lineRule="auto" w:line="276" w:before="120" w:after="120"/>
        <w:ind w:left="857" w:hanging="432"/>
        <w:jc w:val="both"/>
        <w:rPr>
          <w:rFonts w:cs="Arial"/>
          <w:sz w:val="24"/>
        </w:rPr>
      </w:pPr>
      <w:r>
        <w:rPr>
          <w:rFonts w:cs="Arial"/>
          <w:sz w:val="22"/>
          <w:szCs w:val="22"/>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1"/>
        </w:numPr>
        <w:spacing w:lineRule="auto" w:line="276" w:before="120" w:after="120"/>
        <w:ind w:left="425" w:hanging="0"/>
        <w:jc w:val="both"/>
        <w:rPr>
          <w:rFonts w:cs="Arial"/>
          <w:color w:val="000000"/>
          <w:sz w:val="24"/>
        </w:rPr>
      </w:pPr>
      <w:r>
        <w:rPr>
          <w:rFonts w:cs="Arial"/>
          <w:color w:val="000000"/>
          <w:sz w:val="22"/>
          <w:szCs w:val="22"/>
        </w:rPr>
        <w:t>No caso de todos os fornecedores restarem desclassificados ou inabilitados (procedimento fracassado), a Administração poderá:</w:t>
      </w:r>
    </w:p>
    <w:p>
      <w:pPr>
        <w:pStyle w:val="Normal"/>
        <w:numPr>
          <w:ilvl w:val="2"/>
          <w:numId w:val="1"/>
        </w:numPr>
        <w:spacing w:lineRule="auto" w:line="276" w:before="120" w:after="120"/>
        <w:jc w:val="both"/>
        <w:rPr>
          <w:rFonts w:cs="Arial"/>
          <w:color w:val="000000"/>
          <w:sz w:val="24"/>
        </w:rPr>
      </w:pPr>
      <w:r>
        <w:rPr>
          <w:rFonts w:cs="Arial"/>
          <w:color w:val="000000"/>
          <w:sz w:val="22"/>
          <w:szCs w:val="22"/>
        </w:rPr>
        <w:t>republicar o presente aviso com uma nova data;</w:t>
      </w:r>
    </w:p>
    <w:p>
      <w:pPr>
        <w:pStyle w:val="Normal"/>
        <w:numPr>
          <w:ilvl w:val="2"/>
          <w:numId w:val="1"/>
        </w:numPr>
        <w:spacing w:lineRule="auto" w:line="276" w:before="120" w:after="120"/>
        <w:jc w:val="both"/>
        <w:rPr>
          <w:rFonts w:cs="Arial"/>
          <w:color w:val="000000"/>
          <w:sz w:val="24"/>
        </w:rPr>
      </w:pPr>
      <w:r>
        <w:rPr>
          <w:rFonts w:cs="Arial"/>
          <w:color w:val="000000"/>
          <w:sz w:val="22"/>
          <w:szCs w:val="22"/>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0"/>
          <w:numId w:val="0"/>
        </w:numPr>
        <w:spacing w:lineRule="auto" w:line="276" w:before="120" w:after="120"/>
        <w:ind w:left="1728" w:hanging="0"/>
        <w:jc w:val="both"/>
        <w:rPr>
          <w:rFonts w:ascii="Arial" w:hAnsi="Arial"/>
          <w:sz w:val="22"/>
          <w:szCs w:val="22"/>
        </w:rPr>
      </w:pPr>
      <w:r>
        <w:rPr>
          <w:rFonts w:cs="Arial"/>
          <w:b/>
          <w:bCs/>
          <w:color w:val="000000"/>
          <w:sz w:val="22"/>
          <w:szCs w:val="22"/>
        </w:rPr>
        <w:t>9.2.2.1.</w:t>
      </w:r>
      <w:r>
        <w:rPr>
          <w:rFonts w:cs="Arial"/>
          <w:color w:val="000000"/>
          <w:sz w:val="22"/>
          <w:szCs w:val="22"/>
        </w:rPr>
        <w:t xml:space="preserve"> No caso do subitem anterior, a contratação será operacionalizada fora deste procedimento.</w:t>
      </w:r>
    </w:p>
    <w:p>
      <w:pPr>
        <w:pStyle w:val="Normal"/>
        <w:numPr>
          <w:ilvl w:val="2"/>
          <w:numId w:val="1"/>
        </w:numPr>
        <w:spacing w:lineRule="auto" w:line="276" w:before="120" w:after="120"/>
        <w:jc w:val="both"/>
        <w:rPr>
          <w:rFonts w:cs="Arial"/>
          <w:color w:val="000000"/>
          <w:sz w:val="24"/>
        </w:rPr>
      </w:pPr>
      <w:r>
        <w:rPr>
          <w:rFonts w:cs="Arial"/>
          <w:color w:val="000000"/>
          <w:sz w:val="22"/>
          <w:szCs w:val="22"/>
        </w:rPr>
        <w:t>fixar prazo para que possa haver adequação das propostas ou da documentação de habilitação, conforme o caso.</w:t>
      </w:r>
    </w:p>
    <w:p>
      <w:pPr>
        <w:pStyle w:val="Normal"/>
        <w:numPr>
          <w:ilvl w:val="1"/>
          <w:numId w:val="1"/>
        </w:numPr>
        <w:spacing w:lineRule="auto" w:line="276" w:before="120" w:after="120"/>
        <w:ind w:left="425" w:hanging="0"/>
        <w:jc w:val="both"/>
        <w:rPr>
          <w:rFonts w:cs="Arial"/>
          <w:color w:val="000000"/>
          <w:sz w:val="24"/>
        </w:rPr>
      </w:pPr>
      <w:r>
        <w:rPr>
          <w:rFonts w:cs="Arial"/>
          <w:color w:val="000000"/>
          <w:sz w:val="22"/>
          <w:szCs w:val="22"/>
        </w:rPr>
        <w:t>As providências dos subitens 9.2.1 e 9.2.2 acima poderão ser utilizadas se não houver o comparecimento de quaisquer fornecedores interessados (procedimento deserto)</w:t>
      </w:r>
    </w:p>
    <w:p>
      <w:pPr>
        <w:pStyle w:val="Normal"/>
        <w:numPr>
          <w:ilvl w:val="1"/>
          <w:numId w:val="1"/>
        </w:numPr>
        <w:spacing w:lineRule="auto" w:line="276" w:before="120" w:after="120"/>
        <w:ind w:left="425" w:hanging="0"/>
        <w:jc w:val="both"/>
        <w:rPr>
          <w:rFonts w:cs="Arial"/>
          <w:color w:val="000000"/>
          <w:sz w:val="24"/>
        </w:rPr>
      </w:pPr>
      <w:r>
        <w:rPr>
          <w:rFonts w:cs="Arial"/>
          <w:color w:val="000000"/>
          <w:sz w:val="22"/>
          <w:szCs w:val="22"/>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spacing w:lineRule="auto" w:line="276" w:before="120" w:after="120"/>
        <w:ind w:left="425" w:hanging="0"/>
        <w:jc w:val="both"/>
        <w:rPr>
          <w:rFonts w:cs="Arial"/>
          <w:color w:val="000000"/>
          <w:sz w:val="24"/>
        </w:rPr>
      </w:pPr>
      <w:r>
        <w:rPr>
          <w:rFonts w:cs="Arial"/>
          <w:color w:val="000000"/>
          <w:sz w:val="22"/>
          <w:szCs w:val="22"/>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spacing w:lineRule="auto" w:line="276" w:before="120" w:after="120"/>
        <w:ind w:left="425" w:hanging="0"/>
        <w:jc w:val="both"/>
        <w:rPr>
          <w:rFonts w:cs="Arial"/>
          <w:color w:val="000000"/>
          <w:sz w:val="24"/>
        </w:rPr>
      </w:pPr>
      <w:r>
        <w:rPr>
          <w:rFonts w:cs="Arial"/>
          <w:color w:val="000000"/>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1"/>
        </w:numPr>
        <w:spacing w:lineRule="auto" w:line="276" w:before="120" w:after="120"/>
        <w:ind w:left="425" w:hanging="0"/>
        <w:jc w:val="both"/>
        <w:rPr>
          <w:rFonts w:cs="Arial"/>
          <w:color w:val="000000"/>
          <w:sz w:val="24"/>
        </w:rPr>
      </w:pPr>
      <w:r>
        <w:rPr>
          <w:rFonts w:cs="Arial"/>
          <w:color w:val="000000"/>
          <w:sz w:val="22"/>
          <w:szCs w:val="22"/>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1"/>
        </w:numPr>
        <w:spacing w:lineRule="auto" w:line="276" w:before="120" w:after="120"/>
        <w:ind w:left="425" w:hanging="0"/>
        <w:jc w:val="both"/>
        <w:rPr>
          <w:rFonts w:cs="Arial"/>
          <w:color w:val="000000" w:themeColor="text1"/>
          <w:sz w:val="24"/>
        </w:rPr>
      </w:pPr>
      <w:r>
        <w:rPr>
          <w:rFonts w:cs="Arial"/>
          <w:color w:val="000000" w:themeColor="text1"/>
          <w:sz w:val="22"/>
          <w:szCs w:val="22"/>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1"/>
        </w:numPr>
        <w:spacing w:lineRule="auto" w:line="276" w:before="120" w:after="120"/>
        <w:ind w:left="425" w:hanging="0"/>
        <w:jc w:val="both"/>
        <w:rPr>
          <w:rFonts w:cs="Arial"/>
          <w:color w:val="000000"/>
          <w:sz w:val="24"/>
        </w:rPr>
      </w:pPr>
      <w:r>
        <w:rPr>
          <w:rFonts w:cs="Arial"/>
          <w:color w:val="000000"/>
          <w:sz w:val="22"/>
          <w:szCs w:val="22"/>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1"/>
        </w:numPr>
        <w:spacing w:lineRule="auto" w:line="276" w:before="120" w:after="120"/>
        <w:ind w:left="425" w:hanging="0"/>
        <w:jc w:val="both"/>
        <w:rPr>
          <w:rFonts w:cs="Arial"/>
          <w:color w:val="000000"/>
          <w:sz w:val="24"/>
        </w:rPr>
      </w:pPr>
      <w:r>
        <w:rPr>
          <w:rFonts w:cs="Arial"/>
          <w:color w:val="000000"/>
          <w:sz w:val="22"/>
          <w:szCs w:val="22"/>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spacing w:lineRule="auto" w:line="276" w:before="120" w:after="120"/>
        <w:ind w:left="425" w:hanging="0"/>
        <w:jc w:val="both"/>
        <w:rPr>
          <w:rFonts w:cs="Arial"/>
          <w:color w:val="000000"/>
          <w:sz w:val="24"/>
        </w:rPr>
      </w:pPr>
      <w:r>
        <w:rPr>
          <w:rFonts w:cs="Arial"/>
          <w:color w:val="000000"/>
          <w:sz w:val="22"/>
          <w:szCs w:val="22"/>
        </w:rPr>
        <w:t>Em caso de divergência entre disposições deste Aviso de Contratação Direta e de seus anexos ou demais peças que compõem o processo, prevalecerá as deste Aviso.</w:t>
      </w:r>
    </w:p>
    <w:p>
      <w:pPr>
        <w:pStyle w:val="Normal"/>
        <w:numPr>
          <w:ilvl w:val="1"/>
          <w:numId w:val="1"/>
        </w:numPr>
        <w:spacing w:lineRule="auto" w:line="276" w:before="120" w:after="120"/>
        <w:ind w:left="425" w:hanging="0"/>
        <w:jc w:val="both"/>
        <w:rPr>
          <w:rFonts w:ascii="Arial" w:hAnsi="Arial"/>
          <w:sz w:val="22"/>
          <w:szCs w:val="22"/>
        </w:rPr>
      </w:pPr>
      <w:r>
        <w:rPr>
          <w:rFonts w:cs="Arial"/>
          <w:color w:val="000000"/>
          <w:sz w:val="22"/>
          <w:szCs w:val="22"/>
        </w:rPr>
        <w:t>Da sessão pública será divulgada Ata no sistema eletrônico.</w:t>
      </w:r>
    </w:p>
    <w:p>
      <w:pPr>
        <w:pStyle w:val="Normal"/>
        <w:numPr>
          <w:ilvl w:val="1"/>
          <w:numId w:val="1"/>
        </w:numPr>
        <w:spacing w:lineRule="auto" w:line="276" w:before="120" w:after="120"/>
        <w:ind w:left="425" w:hanging="0"/>
        <w:jc w:val="both"/>
        <w:rPr>
          <w:rFonts w:cs="Arial"/>
          <w:color w:val="000000"/>
          <w:sz w:val="24"/>
        </w:rPr>
      </w:pPr>
      <w:r>
        <w:rPr>
          <w:rFonts w:cs="Arial"/>
          <w:color w:val="000000"/>
          <w:sz w:val="22"/>
          <w:szCs w:val="22"/>
        </w:rPr>
        <w:t>Integram este Aviso de Contratação Direta, para todos os fins e efeitos, os seguintes anexos:</w:t>
      </w:r>
    </w:p>
    <w:p>
      <w:pPr>
        <w:pStyle w:val="Normal"/>
        <w:numPr>
          <w:ilvl w:val="2"/>
          <w:numId w:val="1"/>
        </w:numPr>
        <w:spacing w:lineRule="auto" w:line="276" w:before="120" w:after="120"/>
        <w:jc w:val="both"/>
        <w:rPr>
          <w:rFonts w:cs="Arial"/>
          <w:color w:val="000000"/>
          <w:sz w:val="24"/>
        </w:rPr>
      </w:pPr>
      <w:r>
        <w:rPr>
          <w:rFonts w:cs="Arial"/>
          <w:color w:val="000000"/>
          <w:sz w:val="22"/>
          <w:szCs w:val="22"/>
        </w:rPr>
        <w:t>ANEXO I – Documentação exigida para Habilitação</w:t>
      </w:r>
    </w:p>
    <w:p>
      <w:pPr>
        <w:pStyle w:val="Normal"/>
        <w:numPr>
          <w:ilvl w:val="2"/>
          <w:numId w:val="1"/>
        </w:numPr>
        <w:spacing w:lineRule="auto" w:line="276" w:before="120" w:after="120"/>
        <w:jc w:val="both"/>
        <w:rPr>
          <w:sz w:val="24"/>
          <w:szCs w:val="24"/>
        </w:rPr>
      </w:pPr>
      <w:r>
        <w:rPr>
          <w:rFonts w:cs="Arial"/>
          <w:color w:val="000000"/>
          <w:sz w:val="22"/>
          <w:szCs w:val="22"/>
        </w:rPr>
        <w:t>ANEXO II – Termo de Referência;</w:t>
      </w:r>
    </w:p>
    <w:p>
      <w:pPr>
        <w:pStyle w:val="Normal"/>
        <w:numPr>
          <w:ilvl w:val="2"/>
          <w:numId w:val="1"/>
        </w:numPr>
        <w:spacing w:lineRule="auto" w:line="276" w:before="120" w:after="120"/>
        <w:jc w:val="both"/>
        <w:rPr>
          <w:color w:val="000000"/>
          <w:sz w:val="24"/>
          <w:szCs w:val="24"/>
        </w:rPr>
      </w:pPr>
      <w:r>
        <w:rPr>
          <w:rFonts w:cs="Arial"/>
          <w:i w:val="false"/>
          <w:iCs w:val="false"/>
          <w:color w:val="000000"/>
          <w:sz w:val="22"/>
          <w:szCs w:val="22"/>
        </w:rPr>
        <w:t>ANEXO II.1 – Estudo Técnico Preliminar</w:t>
      </w:r>
    </w:p>
    <w:p>
      <w:pPr>
        <w:pStyle w:val="Normal"/>
        <w:spacing w:lineRule="auto" w:line="276" w:before="0" w:after="120"/>
        <w:ind w:left="360" w:right="-15" w:hanging="0"/>
        <w:jc w:val="center"/>
        <w:rPr>
          <w:rFonts w:ascii="Arial" w:hAnsi="Arial" w:cs="Arial"/>
          <w:color w:val="000000"/>
          <w:sz w:val="22"/>
          <w:szCs w:val="22"/>
        </w:rPr>
      </w:pPr>
      <w:r>
        <w:rPr>
          <w:rFonts w:cs="Arial"/>
          <w:color w:val="000000"/>
          <w:sz w:val="22"/>
          <w:szCs w:val="22"/>
        </w:rPr>
      </w:r>
    </w:p>
    <w:p>
      <w:pPr>
        <w:pStyle w:val="Normal"/>
        <w:spacing w:lineRule="auto" w:line="360"/>
        <w:jc w:val="center"/>
        <w:rPr/>
      </w:pPr>
      <w:r>
        <w:rPr>
          <w:rStyle w:val="Fontepargpadro"/>
          <w:rFonts w:cs="Times New Roman"/>
          <w:color w:val="000000"/>
          <w:sz w:val="22"/>
          <w:szCs w:val="22"/>
        </w:rPr>
        <w:t>Salvador-BA, 13 de janeiro de 2023.</w:t>
      </w:r>
    </w:p>
    <w:p>
      <w:pPr>
        <w:pStyle w:val="Normal"/>
        <w:rPr>
          <w:rFonts w:ascii="Arial" w:hAnsi="Arial"/>
          <w:sz w:val="22"/>
          <w:szCs w:val="22"/>
        </w:rPr>
      </w:pPr>
      <w:r>
        <w:rPr>
          <w:sz w:val="22"/>
          <w:szCs w:val="22"/>
        </w:rPr>
      </w:r>
    </w:p>
    <w:p>
      <w:pPr>
        <w:pStyle w:val="Normal"/>
        <w:rPr>
          <w:rFonts w:ascii="Arial" w:hAnsi="Arial"/>
          <w:sz w:val="22"/>
          <w:szCs w:val="22"/>
        </w:rPr>
      </w:pPr>
      <w:r>
        <w:rPr>
          <w:sz w:val="22"/>
          <w:szCs w:val="22"/>
        </w:rPr>
      </w:r>
    </w:p>
    <w:p>
      <w:pPr>
        <w:pStyle w:val="Normal"/>
        <w:rPr>
          <w:rFonts w:ascii="Arial" w:hAnsi="Arial"/>
          <w:sz w:val="22"/>
          <w:szCs w:val="22"/>
        </w:rPr>
      </w:pPr>
      <w:r>
        <w:rPr>
          <w:sz w:val="22"/>
          <w:szCs w:val="22"/>
        </w:rPr>
      </w:r>
    </w:p>
    <w:p>
      <w:pPr>
        <w:pStyle w:val="Normal"/>
        <w:widowControl/>
        <w:numPr>
          <w:ilvl w:val="0"/>
          <w:numId w:val="6"/>
        </w:num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spacing w:lineRule="auto" w:line="240" w:before="0" w:after="0"/>
        <w:jc w:val="center"/>
        <w:rPr>
          <w:rFonts w:ascii="Arial" w:hAnsi="Arial"/>
          <w:sz w:val="22"/>
          <w:szCs w:val="22"/>
        </w:rPr>
      </w:pPr>
      <w:r>
        <w:rPr>
          <w:rFonts w:eastAsia="Times New Roman" w:cs="Times New Roman"/>
          <w:b/>
          <w:bCs/>
          <w:color w:val="000000"/>
          <w:sz w:val="22"/>
          <w:szCs w:val="22"/>
          <w:u w:val="none"/>
          <w:lang w:eastAsia="pt-BR" w:bidi="ar-SA"/>
        </w:rPr>
        <w:t>JORGE LUIS VIANA SILVA – Ten Cel</w:t>
      </w:r>
    </w:p>
    <w:p>
      <w:pPr>
        <w:pStyle w:val="Ttulo2"/>
        <w:keepNext w:val="true"/>
        <w:widowControl/>
        <w:numPr>
          <w:ilvl w:val="1"/>
          <w:numId w:val="6"/>
        </w:numPr>
        <w:tabs>
          <w:tab w:val="left" w:pos="-142" w:leader="none"/>
        </w:tabs>
        <w:suppressAutoHyphens w:val="false"/>
        <w:bidi w:val="0"/>
        <w:spacing w:lineRule="auto" w:line="240" w:before="0" w:after="0"/>
        <w:ind w:left="0" w:right="0" w:hanging="0"/>
        <w:jc w:val="center"/>
        <w:outlineLvl w:val="1"/>
        <w:rPr/>
      </w:pPr>
      <w:r>
        <w:rPr>
          <w:rStyle w:val="Unknown01"/>
          <w:rFonts w:eastAsia="ヒラギノ角ゴ Pro W3" w:cs="Open Sans" w:ascii="Arial" w:hAnsi="Arial"/>
          <w:b w:val="false"/>
          <w:bCs w:val="false"/>
          <w:i w:val="false"/>
          <w:iCs/>
          <w:caps w:val="false"/>
          <w:smallCaps w:val="false"/>
          <w:strike w:val="false"/>
          <w:dstrike w:val="false"/>
          <w:outline w:val="false"/>
          <w:vanish w:val="false"/>
          <w:color w:val="000000"/>
          <w:spacing w:val="0"/>
          <w:position w:val="0"/>
          <w:sz w:val="24"/>
          <w:sz w:val="22"/>
          <w:szCs w:val="22"/>
          <w:u w:val="none"/>
          <w:vertAlign w:val="baseline"/>
          <w:lang w:val="pt-BR"/>
        </w:rPr>
        <w:t>Ordenador de Despesas Substituto do 6º Depósito de Suprimento</w:t>
      </w:r>
    </w:p>
    <w:p>
      <w:pPr>
        <w:pStyle w:val="Normal"/>
        <w:spacing w:lineRule="auto" w:line="259" w:before="0" w:after="160"/>
        <w:rPr>
          <w:rFonts w:ascii="Arial" w:hAnsi="Arial" w:cs="Arial"/>
          <w:b/>
          <w:b/>
          <w:bCs/>
          <w:iCs/>
          <w:color w:val="000000"/>
          <w:sz w:val="22"/>
          <w:szCs w:val="22"/>
        </w:rPr>
      </w:pPr>
      <w:r>
        <w:rPr>
          <w:rFonts w:cs="Arial"/>
          <w:b/>
          <w:bCs/>
          <w:iCs/>
          <w:color w:val="000000"/>
          <w:sz w:val="22"/>
          <w:szCs w:val="22"/>
        </w:rPr>
      </w:r>
      <w:r>
        <w:br w:type="page"/>
      </w:r>
    </w:p>
    <w:p>
      <w:pPr>
        <w:pStyle w:val="Normal"/>
        <w:spacing w:lineRule="auto" w:line="276"/>
        <w:jc w:val="center"/>
        <w:rPr>
          <w:rFonts w:ascii="Arial" w:hAnsi="Arial" w:cs="Arial"/>
          <w:sz w:val="22"/>
          <w:szCs w:val="22"/>
        </w:rPr>
      </w:pPr>
      <w:r>
        <w:rPr>
          <w:rFonts w:cs="Arial"/>
          <w:sz w:val="22"/>
          <w:szCs w:val="22"/>
        </w:rPr>
      </w:r>
    </w:p>
    <w:p>
      <w:pPr>
        <w:pStyle w:val="Ttulododocumento"/>
        <w:jc w:val="center"/>
        <w:rPr>
          <w:b/>
          <w:b/>
          <w:bCs/>
        </w:rPr>
      </w:pPr>
      <w:r>
        <w:rPr>
          <w:rFonts w:cs="Arial" w:ascii="Arial" w:hAnsi="Arial"/>
          <w:b/>
          <w:bCs/>
          <w:sz w:val="22"/>
          <w:szCs w:val="22"/>
        </w:rPr>
        <w:t>ANEXO I – DOCUMENTAÇÃO EXIGIDA PARA HABILITAÇÃO</w:t>
      </w:r>
    </w:p>
    <w:p>
      <w:pPr>
        <w:pStyle w:val="Normal"/>
        <w:rPr>
          <w:rFonts w:ascii="Arial" w:hAnsi="Arial" w:cs="Arial"/>
          <w:sz w:val="22"/>
          <w:szCs w:val="22"/>
          <w:lang w:eastAsia="en-US"/>
        </w:rPr>
      </w:pPr>
      <w:r>
        <w:rPr>
          <w:rFonts w:cs="Arial"/>
          <w:sz w:val="22"/>
          <w:szCs w:val="22"/>
          <w:lang w:eastAsia="en-US"/>
        </w:rPr>
      </w:r>
    </w:p>
    <w:p>
      <w:pPr>
        <w:pStyle w:val="Normal"/>
        <w:rPr>
          <w:rFonts w:ascii="Arial" w:hAnsi="Arial" w:cs="Arial"/>
          <w:sz w:val="22"/>
          <w:szCs w:val="22"/>
          <w:lang w:eastAsia="en-US"/>
        </w:rPr>
      </w:pPr>
      <w:r>
        <w:rPr>
          <w:rFonts w:cs="Arial"/>
          <w:sz w:val="22"/>
          <w:szCs w:val="22"/>
          <w:lang w:eastAsia="en-US"/>
        </w:rPr>
      </w:r>
    </w:p>
    <w:p>
      <w:pPr>
        <w:pStyle w:val="PADRO"/>
        <w:keepNext w:val="true"/>
        <w:widowControl/>
        <w:numPr>
          <w:ilvl w:val="0"/>
          <w:numId w:val="0"/>
        </w:numPr>
        <w:shd w:val="clear" w:color="auto" w:fill="FFFFFF"/>
        <w:bidi w:val="0"/>
        <w:spacing w:lineRule="auto" w:line="276" w:before="120" w:after="120"/>
        <w:ind w:left="20" w:right="0" w:hanging="0"/>
        <w:jc w:val="both"/>
        <w:textAlignment w:val="baseline"/>
        <w:rPr>
          <w:rFonts w:ascii="Arial" w:hAnsi="Arial"/>
          <w:sz w:val="22"/>
          <w:szCs w:val="22"/>
        </w:rPr>
      </w:pPr>
      <w:r>
        <w:rPr>
          <w:rFonts w:cs="Arial" w:ascii="Arial" w:hAnsi="Arial"/>
          <w:b/>
          <w:bCs/>
          <w:color w:val="000000"/>
          <w:sz w:val="22"/>
          <w:szCs w:val="22"/>
        </w:rPr>
        <w:t xml:space="preserve">1. Habilitação jurídica: </w:t>
      </w:r>
    </w:p>
    <w:p>
      <w:pPr>
        <w:pStyle w:val="Normal"/>
        <w:numPr>
          <w:ilvl w:val="1"/>
          <w:numId w:val="3"/>
        </w:numPr>
        <w:tabs>
          <w:tab w:val="left" w:pos="1440" w:leader="none"/>
        </w:tabs>
        <w:snapToGrid w:val="false"/>
        <w:spacing w:lineRule="auto" w:line="276" w:before="120" w:after="120"/>
        <w:jc w:val="both"/>
        <w:rPr>
          <w:rFonts w:cs="Arial"/>
          <w:sz w:val="24"/>
        </w:rPr>
      </w:pPr>
      <w:r>
        <w:rPr>
          <w:rFonts w:cs="Arial"/>
          <w:sz w:val="22"/>
          <w:szCs w:val="22"/>
        </w:rPr>
        <w:t>no caso de empresário individual, inscrição no Registro Público de Empresas Mercantis, a cargo da Junta Comercial da respectiva sede;</w:t>
      </w:r>
    </w:p>
    <w:p>
      <w:pPr>
        <w:pStyle w:val="ListParagraph"/>
        <w:numPr>
          <w:ilvl w:val="1"/>
          <w:numId w:val="3"/>
        </w:numPr>
        <w:tabs>
          <w:tab w:val="left" w:pos="1440" w:leader="none"/>
        </w:tabs>
        <w:snapToGrid w:val="false"/>
        <w:spacing w:lineRule="auto" w:line="276" w:before="120" w:after="120"/>
        <w:contextualSpacing/>
        <w:jc w:val="both"/>
        <w:rPr>
          <w:rFonts w:cs="Arial"/>
          <w:color w:val="000000"/>
          <w:sz w:val="24"/>
        </w:rPr>
      </w:pPr>
      <w:r>
        <w:rPr>
          <w:rFonts w:cs="Arial"/>
          <w:color w:val="000000"/>
          <w:sz w:val="22"/>
          <w:szCs w:val="22"/>
        </w:rPr>
        <w:t>Em se tratando de Microempreendedor Individual – MEI: Certificado da Condição de Microempreendedor Individual - CCMEI, cuja aceitação ficará condicionada à verificação da autenticidade no sítio www.portaldoempreendedor.gov.br;</w:t>
      </w:r>
    </w:p>
    <w:p>
      <w:pPr>
        <w:pStyle w:val="Normal"/>
        <w:numPr>
          <w:ilvl w:val="1"/>
          <w:numId w:val="3"/>
        </w:numPr>
        <w:tabs>
          <w:tab w:val="left" w:pos="1440" w:leader="none"/>
        </w:tabs>
        <w:snapToGrid w:val="false"/>
        <w:spacing w:lineRule="auto" w:line="276" w:before="120" w:after="120"/>
        <w:jc w:val="both"/>
        <w:rPr>
          <w:rFonts w:cs="Arial"/>
          <w:color w:val="000000"/>
          <w:sz w:val="24"/>
        </w:rPr>
      </w:pPr>
      <w:r>
        <w:rPr>
          <w:rFonts w:cs="Arial"/>
          <w:color w:val="000000"/>
          <w:sz w:val="22"/>
          <w:szCs w:val="22"/>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Normal"/>
        <w:numPr>
          <w:ilvl w:val="1"/>
          <w:numId w:val="3"/>
        </w:numPr>
        <w:tabs>
          <w:tab w:val="left" w:pos="1440" w:leader="none"/>
        </w:tabs>
        <w:snapToGrid w:val="false"/>
        <w:spacing w:lineRule="auto" w:line="276" w:before="120" w:after="120"/>
        <w:jc w:val="both"/>
        <w:rPr>
          <w:rFonts w:cs="Arial"/>
          <w:color w:val="000000"/>
          <w:sz w:val="24"/>
        </w:rPr>
      </w:pPr>
      <w:r>
        <w:rPr>
          <w:rFonts w:cs="Arial"/>
          <w:color w:val="000000"/>
          <w:sz w:val="22"/>
          <w:szCs w:val="22"/>
        </w:rPr>
        <w:t>inscrição no Registro Público de Empresas Mercantis onde opera, com averbação no Registro onde tem sede a matriz, no caso de ser o participante sucursal, filial ou agência;</w:t>
      </w:r>
    </w:p>
    <w:p>
      <w:pPr>
        <w:pStyle w:val="Normal"/>
        <w:numPr>
          <w:ilvl w:val="1"/>
          <w:numId w:val="3"/>
        </w:numPr>
        <w:tabs>
          <w:tab w:val="left" w:pos="1440" w:leader="none"/>
        </w:tabs>
        <w:snapToGrid w:val="false"/>
        <w:spacing w:lineRule="auto" w:line="276" w:before="120" w:after="120"/>
        <w:jc w:val="both"/>
        <w:rPr>
          <w:rFonts w:cs="Arial"/>
          <w:sz w:val="24"/>
        </w:rPr>
      </w:pPr>
      <w:r>
        <w:rPr>
          <w:rFonts w:cs="Arial"/>
          <w:color w:val="000000"/>
          <w:sz w:val="22"/>
          <w:szCs w:val="22"/>
        </w:rPr>
        <w:t>No caso de sociedade simples: inscrição do ato constitutivo no Registro Civil das Pessoas Jurídicas do local de sua sede, acompanhada de prova da indicação dos seus administradores;</w:t>
      </w:r>
    </w:p>
    <w:p>
      <w:pPr>
        <w:pStyle w:val="Normal"/>
        <w:numPr>
          <w:ilvl w:val="1"/>
          <w:numId w:val="3"/>
        </w:numPr>
        <w:tabs>
          <w:tab w:val="left" w:pos="1440" w:leader="none"/>
        </w:tabs>
        <w:snapToGrid w:val="false"/>
        <w:spacing w:lineRule="auto" w:line="276" w:before="120" w:after="120"/>
        <w:jc w:val="both"/>
        <w:rPr>
          <w:rFonts w:ascii="Arial" w:hAnsi="Arial"/>
          <w:sz w:val="22"/>
          <w:szCs w:val="22"/>
        </w:rPr>
      </w:pPr>
      <w:r>
        <w:rPr>
          <w:rFonts w:cs="Arial"/>
          <w:color w:val="000000"/>
          <w:sz w:val="22"/>
          <w:szCs w:val="22"/>
        </w:rPr>
        <w:t>decreto de autorização, em se tratando de sociedade empresária estrangeira em funcionamento no País;</w:t>
      </w:r>
    </w:p>
    <w:p>
      <w:pPr>
        <w:pStyle w:val="ListParagraph"/>
        <w:numPr>
          <w:ilvl w:val="1"/>
          <w:numId w:val="3"/>
        </w:numPr>
        <w:spacing w:lineRule="auto" w:line="276" w:before="120" w:after="120"/>
        <w:contextualSpacing/>
        <w:jc w:val="both"/>
        <w:rPr>
          <w:rFonts w:cs="Arial"/>
          <w:bCs/>
          <w:color w:val="000000"/>
          <w:sz w:val="24"/>
        </w:rPr>
      </w:pPr>
      <w:r>
        <w:rPr>
          <w:rFonts w:cs="Arial"/>
          <w:bCs/>
          <w:color w:val="000000"/>
          <w:sz w:val="22"/>
          <w:szCs w:val="22"/>
        </w:rPr>
        <w:t>Os documentos acima deverão estar acompanhados de todas as alterações ou da consolidação respectiva.</w:t>
      </w:r>
    </w:p>
    <w:p>
      <w:pPr>
        <w:pStyle w:val="ListParagraph"/>
        <w:spacing w:lineRule="auto" w:line="276" w:before="120" w:after="120"/>
        <w:ind w:left="1134" w:hanging="0"/>
        <w:contextualSpacing/>
        <w:jc w:val="both"/>
        <w:rPr>
          <w:rFonts w:ascii="Arial" w:hAnsi="Arial" w:cs="Arial"/>
          <w:bCs/>
          <w:color w:val="000000"/>
          <w:sz w:val="22"/>
          <w:szCs w:val="22"/>
        </w:rPr>
      </w:pPr>
      <w:r>
        <w:rPr>
          <w:rFonts w:cs="Arial"/>
          <w:bCs/>
          <w:color w:val="000000"/>
          <w:sz w:val="22"/>
          <w:szCs w:val="22"/>
        </w:rPr>
      </w:r>
    </w:p>
    <w:p>
      <w:pPr>
        <w:pStyle w:val="PADRO"/>
        <w:keepNext w:val="true"/>
        <w:widowControl/>
        <w:numPr>
          <w:ilvl w:val="0"/>
          <w:numId w:val="3"/>
        </w:numPr>
        <w:shd w:val="clear" w:fill="FFFFFF"/>
        <w:spacing w:before="120" w:after="120"/>
        <w:rPr>
          <w:rFonts w:ascii="Arial" w:hAnsi="Arial"/>
          <w:sz w:val="22"/>
          <w:szCs w:val="22"/>
        </w:rPr>
      </w:pPr>
      <w:r>
        <w:rPr>
          <w:rFonts w:cs="Arial" w:ascii="Arial" w:hAnsi="Arial"/>
          <w:b/>
          <w:bCs/>
          <w:color w:val="000000"/>
          <w:sz w:val="22"/>
          <w:szCs w:val="22"/>
        </w:rPr>
        <w:t>2. Regularidade fiscal, social e trabalhista:</w:t>
      </w:r>
    </w:p>
    <w:p>
      <w:pPr>
        <w:pStyle w:val="Normal"/>
        <w:numPr>
          <w:ilvl w:val="1"/>
          <w:numId w:val="3"/>
        </w:numPr>
        <w:tabs>
          <w:tab w:val="left" w:pos="1440" w:leader="none"/>
        </w:tabs>
        <w:snapToGrid w:val="false"/>
        <w:spacing w:lineRule="auto" w:line="276" w:before="120" w:after="120"/>
        <w:jc w:val="both"/>
        <w:rPr>
          <w:rFonts w:cs="Arial"/>
          <w:sz w:val="24"/>
        </w:rPr>
      </w:pPr>
      <w:r>
        <w:rPr>
          <w:rFonts w:cs="Arial"/>
          <w:sz w:val="22"/>
          <w:szCs w:val="22"/>
          <w:lang w:eastAsia="en-US"/>
        </w:rPr>
        <w:t>prova de inscrição no Cadastro Nacional de Pessoas Jurídicas ou no Cadastro de Pessoas Físicas, conforme o caso;</w:t>
      </w:r>
    </w:p>
    <w:p>
      <w:pPr>
        <w:pStyle w:val="Normal"/>
        <w:numPr>
          <w:ilvl w:val="1"/>
          <w:numId w:val="3"/>
        </w:numPr>
        <w:tabs>
          <w:tab w:val="left" w:pos="1440" w:leader="none"/>
        </w:tabs>
        <w:snapToGrid w:val="false"/>
        <w:spacing w:lineRule="auto" w:line="276" w:before="120" w:after="120"/>
        <w:jc w:val="both"/>
        <w:rPr>
          <w:rFonts w:cs="Arial"/>
          <w:sz w:val="24"/>
        </w:rPr>
      </w:pPr>
      <w:r>
        <w:rPr>
          <w:rFonts w:cs="Arial"/>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3"/>
        </w:numPr>
        <w:tabs>
          <w:tab w:val="left" w:pos="1440" w:leader="none"/>
        </w:tabs>
        <w:snapToGrid w:val="false"/>
        <w:spacing w:lineRule="auto" w:line="276" w:before="120" w:after="120"/>
        <w:jc w:val="both"/>
        <w:rPr>
          <w:rFonts w:cs="Arial"/>
          <w:color w:val="000000"/>
          <w:sz w:val="24"/>
        </w:rPr>
      </w:pPr>
      <w:r>
        <w:rPr>
          <w:rFonts w:cs="Arial"/>
          <w:color w:val="000000"/>
          <w:sz w:val="22"/>
          <w:szCs w:val="22"/>
          <w:lang w:eastAsia="en-US"/>
        </w:rPr>
        <w:t>prova de regularidade com o Fundo de Garantia do Tempo de Serviço (FGTS);</w:t>
      </w:r>
    </w:p>
    <w:p>
      <w:pPr>
        <w:pStyle w:val="Normal"/>
        <w:numPr>
          <w:ilvl w:val="1"/>
          <w:numId w:val="3"/>
        </w:numPr>
        <w:tabs>
          <w:tab w:val="left" w:pos="1440" w:leader="none"/>
        </w:tabs>
        <w:snapToGrid w:val="false"/>
        <w:spacing w:lineRule="auto" w:line="276" w:before="120" w:after="120"/>
        <w:jc w:val="both"/>
        <w:rPr>
          <w:rFonts w:cs="Arial"/>
          <w:sz w:val="24"/>
        </w:rPr>
      </w:pPr>
      <w:r>
        <w:rPr>
          <w:rFonts w:cs="Arial"/>
          <w:sz w:val="22"/>
          <w:szCs w:val="22"/>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numPr>
          <w:ilvl w:val="1"/>
          <w:numId w:val="3"/>
        </w:numPr>
        <w:tabs>
          <w:tab w:val="left" w:pos="1440" w:leader="none"/>
        </w:tabs>
        <w:snapToGrid w:val="false"/>
        <w:spacing w:lineRule="auto" w:line="276" w:before="120" w:after="120"/>
        <w:jc w:val="both"/>
        <w:rPr>
          <w:rFonts w:ascii="Arial" w:hAnsi="Arial"/>
          <w:sz w:val="22"/>
          <w:szCs w:val="22"/>
        </w:rPr>
      </w:pPr>
      <w:r>
        <w:rPr>
          <w:rFonts w:cs="Arial"/>
          <w:bCs/>
          <w:i w:val="false"/>
          <w:iCs w:val="false"/>
          <w:color w:val="000000"/>
          <w:sz w:val="22"/>
          <w:szCs w:val="22"/>
        </w:rPr>
        <w:t xml:space="preserve">prova de </w:t>
      </w:r>
      <w:r>
        <w:rPr>
          <w:rFonts w:cs="Arial"/>
          <w:i w:val="false"/>
          <w:iCs w:val="false"/>
          <w:color w:val="000000"/>
          <w:sz w:val="22"/>
          <w:szCs w:val="22"/>
        </w:rPr>
        <w:t>inscrição no cadastro de contribuintes estadual e municipal, relativo ao domicílio ou sede do fornecedor, pertinente ao seu ramo de atividade e compatível com o objeto contratual</w:t>
      </w:r>
      <w:r>
        <w:rPr>
          <w:rFonts w:cs="Arial"/>
          <w:bCs/>
          <w:i w:val="false"/>
          <w:iCs w:val="false"/>
          <w:color w:val="000000"/>
          <w:sz w:val="22"/>
          <w:szCs w:val="22"/>
        </w:rPr>
        <w:t>;</w:t>
      </w:r>
      <w:r>
        <w:rPr>
          <w:rFonts w:cs="Arial"/>
          <w:bCs/>
          <w:sz w:val="22"/>
          <w:szCs w:val="22"/>
        </w:rPr>
        <w:t xml:space="preserve"> </w:t>
      </w:r>
    </w:p>
    <w:p>
      <w:pPr>
        <w:pStyle w:val="Normal"/>
        <w:numPr>
          <w:ilvl w:val="1"/>
          <w:numId w:val="3"/>
        </w:numPr>
        <w:tabs>
          <w:tab w:val="left" w:pos="1440" w:leader="none"/>
        </w:tabs>
        <w:snapToGrid w:val="false"/>
        <w:spacing w:lineRule="auto" w:line="276" w:before="120" w:after="120"/>
        <w:jc w:val="both"/>
        <w:rPr>
          <w:i w:val="false"/>
          <w:i w:val="false"/>
          <w:iCs w:val="false"/>
          <w:color w:val="000000"/>
        </w:rPr>
      </w:pPr>
      <w:r>
        <w:rPr>
          <w:rFonts w:cs="Arial"/>
          <w:i w:val="false"/>
          <w:iCs w:val="false"/>
          <w:color w:val="000000"/>
          <w:sz w:val="22"/>
          <w:szCs w:val="22"/>
        </w:rPr>
        <w:t xml:space="preserve">prova de regularidade com a Fazenda Estadual e Municipal do domicílio ou sede do fornecedor, relativa à atividade em cujo exercício contrata ou concorre; </w:t>
      </w:r>
    </w:p>
    <w:p>
      <w:pPr>
        <w:pStyle w:val="Normal"/>
        <w:numPr>
          <w:ilvl w:val="1"/>
          <w:numId w:val="3"/>
        </w:numPr>
        <w:tabs>
          <w:tab w:val="left" w:pos="1440" w:leader="none"/>
        </w:tabs>
        <w:snapToGrid w:val="false"/>
        <w:spacing w:lineRule="auto" w:line="276" w:before="120" w:after="120"/>
        <w:jc w:val="both"/>
        <w:rPr>
          <w:rFonts w:ascii="Arial" w:hAnsi="Arial"/>
          <w:sz w:val="22"/>
          <w:szCs w:val="22"/>
        </w:rPr>
      </w:pPr>
      <w:r>
        <w:rPr>
          <w:rFonts w:cs="Arial"/>
          <w:i w:val="false"/>
          <w:iCs w:val="false"/>
          <w:color w:val="000000"/>
          <w:sz w:val="22"/>
          <w:szCs w:val="22"/>
        </w:rPr>
        <w:t>caso o fornecedor seja considerado isento dos tributos estaduais ou municipais relacionados ao objeto contratual, deverá comprovar tal condição mediante a apresentação de declaração da Fazenda respectiva do seu domicílio ou sede, ou outra equivalente, na forma da lei;</w:t>
      </w:r>
      <w:r>
        <w:rPr>
          <w:rFonts w:cs="Arial"/>
          <w:sz w:val="22"/>
          <w:szCs w:val="22"/>
        </w:rPr>
        <w:t xml:space="preserve"> </w:t>
      </w:r>
    </w:p>
    <w:p>
      <w:pPr>
        <w:pStyle w:val="PADRO"/>
        <w:keepNext w:val="true"/>
        <w:widowControl/>
        <w:numPr>
          <w:ilvl w:val="0"/>
          <w:numId w:val="3"/>
        </w:numPr>
        <w:shd w:val="clear" w:fill="FFFFFF"/>
        <w:spacing w:before="120" w:after="120"/>
        <w:rPr>
          <w:rFonts w:ascii="Arial" w:hAnsi="Arial"/>
          <w:sz w:val="22"/>
          <w:szCs w:val="22"/>
        </w:rPr>
      </w:pPr>
      <w:r>
        <w:rPr>
          <w:rFonts w:cs="Arial" w:ascii="Arial" w:hAnsi="Arial"/>
          <w:b/>
          <w:color w:val="000000"/>
          <w:sz w:val="22"/>
          <w:szCs w:val="22"/>
        </w:rPr>
        <w:t>3. Qualificação Econômico-Financeira:</w:t>
      </w:r>
      <w:r>
        <w:rPr>
          <w:rFonts w:cs="Arial" w:ascii="Arial" w:hAnsi="Arial"/>
          <w:b/>
          <w:bCs/>
          <w:iCs/>
          <w:color w:val="000000"/>
          <w:sz w:val="22"/>
          <w:szCs w:val="22"/>
        </w:rPr>
        <w:t xml:space="preserve"> </w:t>
      </w:r>
    </w:p>
    <w:p>
      <w:pPr>
        <w:pStyle w:val="ListParagraph"/>
        <w:numPr>
          <w:ilvl w:val="1"/>
          <w:numId w:val="3"/>
        </w:numPr>
        <w:tabs>
          <w:tab w:val="left" w:pos="1440" w:leader="none"/>
        </w:tabs>
        <w:snapToGrid w:val="false"/>
        <w:spacing w:lineRule="auto" w:line="276" w:before="120" w:after="120"/>
        <w:contextualSpacing/>
        <w:jc w:val="both"/>
        <w:rPr>
          <w:rFonts w:cs="Arial"/>
          <w:color w:val="000000"/>
          <w:sz w:val="24"/>
        </w:rPr>
      </w:pPr>
      <w:r>
        <w:rPr>
          <w:rFonts w:cs="Arial"/>
          <w:color w:val="000000"/>
          <w:sz w:val="22"/>
          <w:szCs w:val="22"/>
        </w:rPr>
        <w:t>certidão negativa de falência expedida pelo distribuidor da sede do fornecedor;</w:t>
      </w:r>
    </w:p>
    <w:p>
      <w:pPr>
        <w:pStyle w:val="Normal"/>
        <w:numPr>
          <w:ilvl w:val="1"/>
          <w:numId w:val="3"/>
        </w:numPr>
        <w:tabs>
          <w:tab w:val="left" w:pos="1440" w:leader="none"/>
        </w:tabs>
        <w:snapToGrid w:val="false"/>
        <w:spacing w:lineRule="auto" w:line="276" w:before="120" w:after="120"/>
        <w:jc w:val="both"/>
        <w:rPr>
          <w:rFonts w:cs="Arial"/>
          <w:color w:val="000000"/>
          <w:sz w:val="24"/>
        </w:rPr>
      </w:pPr>
      <w:r>
        <w:rPr>
          <w:rFonts w:cs="Arial"/>
          <w:color w:val="000000"/>
          <w:sz w:val="22"/>
          <w:szCs w:val="22"/>
        </w:rPr>
        <w:t>balanço patrimonial, demonstração de resultado de exercício e demais demonstrações contábeis dos 2 (dois) últimos exercícios sociais;</w:t>
      </w:r>
    </w:p>
    <w:p>
      <w:pPr>
        <w:pStyle w:val="Normal"/>
        <w:numPr>
          <w:ilvl w:val="2"/>
          <w:numId w:val="3"/>
        </w:numPr>
        <w:spacing w:lineRule="auto" w:line="276" w:before="120" w:after="120"/>
        <w:jc w:val="both"/>
        <w:rPr>
          <w:rFonts w:cs="Arial"/>
          <w:color w:val="000000"/>
          <w:sz w:val="24"/>
        </w:rPr>
      </w:pPr>
      <w:r>
        <w:rPr>
          <w:rFonts w:cs="Arial"/>
          <w:color w:val="000000"/>
          <w:sz w:val="22"/>
          <w:szCs w:val="22"/>
        </w:rPr>
        <w:t>As empresas criadas no exercício financeiro da dispensa deverão atender a todas as exigências da habilitação e poderão substituir os demonstrativos contábeis pelo balanço de abertura.</w:t>
      </w:r>
    </w:p>
    <w:p>
      <w:pPr>
        <w:pStyle w:val="Normal"/>
        <w:numPr>
          <w:ilvl w:val="2"/>
          <w:numId w:val="3"/>
        </w:numPr>
        <w:spacing w:lineRule="auto" w:line="276" w:before="120" w:after="120"/>
        <w:jc w:val="both"/>
        <w:rPr>
          <w:rFonts w:ascii="Arial" w:hAnsi="Arial"/>
          <w:sz w:val="22"/>
          <w:szCs w:val="22"/>
        </w:rPr>
      </w:pPr>
      <w:r>
        <w:rPr>
          <w:rFonts w:cs="Arial"/>
          <w:color w:val="000000"/>
          <w:sz w:val="22"/>
          <w:szCs w:val="22"/>
        </w:rPr>
        <w:t>Os documentos referidos acima limitar-se-ão ao último exercício no caso de a pessoa jurídica ter sido constituída há menos de 2 (dois) anos.</w:t>
      </w:r>
    </w:p>
    <w:p>
      <w:pPr>
        <w:pStyle w:val="Normal"/>
        <w:numPr>
          <w:ilvl w:val="1"/>
          <w:numId w:val="3"/>
        </w:numPr>
        <w:tabs>
          <w:tab w:val="left" w:pos="1440" w:leader="none"/>
        </w:tabs>
        <w:snapToGrid w:val="false"/>
        <w:spacing w:lineRule="auto" w:line="276" w:before="120" w:after="120"/>
        <w:jc w:val="both"/>
        <w:rPr>
          <w:rFonts w:cs="Arial"/>
          <w:color w:val="000000"/>
          <w:sz w:val="24"/>
        </w:rPr>
      </w:pPr>
      <w:r>
        <w:rPr>
          <w:rFonts w:cs="Arial"/>
          <w:color w:val="000000"/>
          <w:sz w:val="22"/>
          <w:szCs w:val="22"/>
        </w:rPr>
        <w:t xml:space="preserve">comprovação da boa situação financeira da empresa mediante obtenção de índices de Liquidez Geral (LG), Solvência Geral (SG) e Liquidez Corrente (LC), superiores a 1 (um), obtidos pela aplicação das seguintes fórmulas: </w:t>
      </w:r>
    </w:p>
    <w:tbl>
      <w:tblPr>
        <w:tblStyle w:val="Tabelacomgrade"/>
        <w:tblW w:w="6487" w:type="dxa"/>
        <w:jc w:val="left"/>
        <w:tblInd w:w="1134" w:type="dxa"/>
        <w:tblCellMar>
          <w:top w:w="55" w:type="dxa"/>
          <w:left w:w="86" w:type="dxa"/>
          <w:bottom w:w="55" w:type="dxa"/>
          <w:right w:w="108" w:type="dxa"/>
        </w:tblCellMar>
        <w:tblLook w:firstRow="1" w:noVBand="1" w:lastRow="0" w:firstColumn="1" w:lastColumn="0" w:noHBand="0" w:val="04a0"/>
      </w:tblPr>
      <w:tblGrid>
        <w:gridCol w:w="2234"/>
        <w:gridCol w:w="4252"/>
      </w:tblGrid>
      <w:tr>
        <w:trPr/>
        <w:tc>
          <w:tcPr>
            <w:tcW w:w="2234" w:type="dxa"/>
            <w:vMerge w:val="restart"/>
            <w:tcBorders>
              <w:top w:val="single" w:sz="2" w:space="0" w:color="000001"/>
              <w:left w:val="single" w:sz="2" w:space="0" w:color="000001"/>
              <w:bottom w:val="single" w:sz="2" w:space="0" w:color="000001"/>
              <w:right w:val="nil"/>
              <w:insideH w:val="single" w:sz="2" w:space="0" w:color="000001"/>
              <w:insideV w:val="nil"/>
            </w:tcBorders>
            <w:shd w:fill="auto" w:val="clear"/>
            <w:tcMar>
              <w:left w:w="86" w:type="dxa"/>
            </w:tcMar>
            <w:vAlign w:val="center"/>
          </w:tcPr>
          <w:p>
            <w:pPr>
              <w:pStyle w:val="Normal"/>
              <w:tabs>
                <w:tab w:val="left" w:pos="1440" w:leader="none"/>
              </w:tabs>
              <w:snapToGrid w:val="false"/>
              <w:spacing w:lineRule="auto" w:line="276" w:before="0" w:after="0"/>
              <w:jc w:val="both"/>
              <w:rPr>
                <w:rFonts w:cs="Arial"/>
                <w:color w:val="000000"/>
                <w:sz w:val="24"/>
              </w:rPr>
            </w:pPr>
            <w:r>
              <w:rPr>
                <w:rFonts w:eastAsia="" w:cs="Arial"/>
                <w:color w:val="000000"/>
                <w:sz w:val="22"/>
                <w:szCs w:val="22"/>
              </w:rPr>
              <w:t>LG =</w:t>
            </w:r>
          </w:p>
        </w:tc>
        <w:tc>
          <w:tcPr>
            <w:tcW w:w="4252"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86" w:type="dxa"/>
            </w:tcMar>
            <w:vAlign w:val="bottom"/>
          </w:tcPr>
          <w:p>
            <w:pPr>
              <w:pStyle w:val="Normal"/>
              <w:tabs>
                <w:tab w:val="left" w:pos="1440" w:leader="none"/>
              </w:tabs>
              <w:snapToGrid w:val="false"/>
              <w:spacing w:lineRule="auto" w:line="276" w:before="0" w:after="0"/>
              <w:jc w:val="both"/>
              <w:rPr>
                <w:rFonts w:cs="Arial"/>
                <w:color w:val="000000"/>
                <w:sz w:val="24"/>
              </w:rPr>
            </w:pPr>
            <w:r>
              <w:rPr>
                <w:rFonts w:eastAsia="" w:cs="Arial"/>
                <w:color w:val="000000"/>
                <w:sz w:val="22"/>
                <w:szCs w:val="22"/>
              </w:rPr>
              <w:t>Ativo Circulante + Realizável a Longo Prazo</w:t>
            </w:r>
          </w:p>
        </w:tc>
      </w:tr>
      <w:tr>
        <w:trPr/>
        <w:tc>
          <w:tcPr>
            <w:tcW w:w="2234" w:type="dxa"/>
            <w:vMerge w:val="continue"/>
            <w:tcBorders>
              <w:top w:val="nil"/>
              <w:left w:val="single" w:sz="2" w:space="0" w:color="000001"/>
              <w:bottom w:val="single" w:sz="2" w:space="0" w:color="000001"/>
              <w:right w:val="nil"/>
              <w:insideH w:val="single" w:sz="2" w:space="0" w:color="000001"/>
              <w:insideV w:val="nil"/>
            </w:tcBorders>
            <w:shd w:fill="auto" w:val="clear"/>
            <w:tcMar>
              <w:left w:w="86" w:type="dxa"/>
            </w:tcMar>
          </w:tcPr>
          <w:p>
            <w:pPr>
              <w:pStyle w:val="Normal"/>
              <w:tabs>
                <w:tab w:val="left" w:pos="1440" w:leader="none"/>
              </w:tabs>
              <w:snapToGrid w:val="false"/>
              <w:spacing w:lineRule="auto" w:line="276" w:before="0" w:after="0"/>
              <w:jc w:val="both"/>
              <w:rPr>
                <w:rFonts w:ascii="Arial" w:hAnsi="Arial" w:eastAsia="" w:cs="Times New Roman" w:eastAsiaTheme="minorEastAsia"/>
                <w:color w:val="000000"/>
                <w:sz w:val="22"/>
                <w:szCs w:val="20"/>
              </w:rPr>
            </w:pPr>
            <w:r>
              <w:rPr>
                <w:rFonts w:eastAsia="" w:cs="Times New Roman" w:eastAsiaTheme="minorEastAsia"/>
                <w:color w:val="000000"/>
                <w:sz w:val="22"/>
                <w:szCs w:val="20"/>
              </w:rPr>
            </w:r>
          </w:p>
        </w:tc>
        <w:tc>
          <w:tcPr>
            <w:tcW w:w="4252" w:type="dxa"/>
            <w:tcBorders>
              <w:top w:val="nil"/>
              <w:left w:val="single" w:sz="2" w:space="0" w:color="000001"/>
              <w:bottom w:val="single" w:sz="2" w:space="0" w:color="000001"/>
              <w:right w:val="single" w:sz="2" w:space="0" w:color="000001"/>
              <w:insideH w:val="single" w:sz="2" w:space="0" w:color="000001"/>
              <w:insideV w:val="single" w:sz="2" w:space="0" w:color="000001"/>
            </w:tcBorders>
            <w:shd w:fill="auto" w:val="clear"/>
            <w:tcMar>
              <w:left w:w="86" w:type="dxa"/>
            </w:tcMar>
          </w:tcPr>
          <w:p>
            <w:pPr>
              <w:pStyle w:val="Normal"/>
              <w:tabs>
                <w:tab w:val="left" w:pos="1440" w:leader="none"/>
              </w:tabs>
              <w:snapToGrid w:val="false"/>
              <w:spacing w:lineRule="auto" w:line="276" w:before="0" w:after="0"/>
              <w:jc w:val="both"/>
              <w:rPr>
                <w:rFonts w:cs="Arial"/>
                <w:color w:val="000000"/>
                <w:sz w:val="24"/>
              </w:rPr>
            </w:pPr>
            <w:r>
              <w:rPr>
                <w:rFonts w:eastAsia="" w:cs="Arial"/>
                <w:color w:val="000000"/>
                <w:sz w:val="22"/>
                <w:szCs w:val="22"/>
              </w:rPr>
              <w:t>Passivo Circulante + Passivo Não Circulante</w:t>
            </w:r>
          </w:p>
        </w:tc>
      </w:tr>
    </w:tbl>
    <w:p>
      <w:pPr>
        <w:pStyle w:val="Normal"/>
        <w:tabs>
          <w:tab w:val="left" w:pos="1440" w:leader="none"/>
        </w:tabs>
        <w:snapToGrid w:val="false"/>
        <w:spacing w:lineRule="auto" w:line="276"/>
        <w:ind w:left="1134" w:hanging="0"/>
        <w:jc w:val="both"/>
        <w:rPr>
          <w:rFonts w:ascii="Arial" w:hAnsi="Arial" w:cs="Arial"/>
          <w:color w:val="000000"/>
          <w:sz w:val="22"/>
          <w:szCs w:val="22"/>
        </w:rPr>
      </w:pPr>
      <w:r>
        <w:rPr>
          <w:rFonts w:cs="Arial"/>
          <w:color w:val="000000"/>
          <w:sz w:val="22"/>
          <w:szCs w:val="22"/>
        </w:rPr>
      </w:r>
    </w:p>
    <w:tbl>
      <w:tblPr>
        <w:tblStyle w:val="Tabelacomgrade"/>
        <w:tblW w:w="6629" w:type="dxa"/>
        <w:jc w:val="left"/>
        <w:tblInd w:w="1134" w:type="dxa"/>
        <w:tblCellMar>
          <w:top w:w="55" w:type="dxa"/>
          <w:left w:w="86" w:type="dxa"/>
          <w:bottom w:w="55" w:type="dxa"/>
          <w:right w:w="108" w:type="dxa"/>
        </w:tblCellMar>
        <w:tblLook w:firstRow="1" w:noVBand="1" w:lastRow="0" w:firstColumn="1" w:lastColumn="0" w:noHBand="0" w:val="04a0"/>
      </w:tblPr>
      <w:tblGrid>
        <w:gridCol w:w="2234"/>
        <w:gridCol w:w="4394"/>
      </w:tblGrid>
      <w:tr>
        <w:trPr>
          <w:cantSplit w:val="true"/>
        </w:trPr>
        <w:tc>
          <w:tcPr>
            <w:tcW w:w="2234" w:type="dxa"/>
            <w:vMerge w:val="restart"/>
            <w:tcBorders>
              <w:top w:val="single" w:sz="2" w:space="0" w:color="000001"/>
              <w:left w:val="single" w:sz="2" w:space="0" w:color="000001"/>
              <w:bottom w:val="single" w:sz="2" w:space="0" w:color="000001"/>
              <w:right w:val="nil"/>
              <w:insideH w:val="single" w:sz="2" w:space="0" w:color="000001"/>
              <w:insideV w:val="nil"/>
            </w:tcBorders>
            <w:shd w:fill="auto" w:val="clear"/>
            <w:tcMar>
              <w:left w:w="86" w:type="dxa"/>
            </w:tcMar>
            <w:vAlign w:val="center"/>
          </w:tcPr>
          <w:p>
            <w:pPr>
              <w:pStyle w:val="Normal"/>
              <w:tabs>
                <w:tab w:val="left" w:pos="1440" w:leader="none"/>
              </w:tabs>
              <w:snapToGrid w:val="false"/>
              <w:spacing w:lineRule="auto" w:line="276" w:before="0" w:after="0"/>
              <w:jc w:val="both"/>
              <w:rPr>
                <w:rFonts w:cs="Arial"/>
                <w:color w:val="000000"/>
                <w:sz w:val="24"/>
              </w:rPr>
            </w:pPr>
            <w:r>
              <w:rPr>
                <w:rFonts w:eastAsia="" w:cs="Arial"/>
                <w:color w:val="000000"/>
                <w:sz w:val="22"/>
                <w:szCs w:val="22"/>
              </w:rPr>
              <w:t>SG =</w:t>
            </w:r>
          </w:p>
        </w:tc>
        <w:tc>
          <w:tcPr>
            <w:tcW w:w="4394"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86" w:type="dxa"/>
            </w:tcMar>
            <w:vAlign w:val="bottom"/>
          </w:tcPr>
          <w:p>
            <w:pPr>
              <w:pStyle w:val="Normal"/>
              <w:tabs>
                <w:tab w:val="left" w:pos="1440" w:leader="none"/>
              </w:tabs>
              <w:snapToGrid w:val="false"/>
              <w:spacing w:lineRule="auto" w:line="276" w:before="0" w:after="0"/>
              <w:jc w:val="both"/>
              <w:rPr>
                <w:rFonts w:cs="Arial"/>
                <w:color w:val="000000"/>
                <w:sz w:val="24"/>
              </w:rPr>
            </w:pPr>
            <w:r>
              <w:rPr>
                <w:rFonts w:eastAsia="" w:cs="Arial"/>
                <w:color w:val="000000"/>
                <w:sz w:val="22"/>
                <w:szCs w:val="22"/>
              </w:rPr>
              <w:t>Ativo Total</w:t>
            </w:r>
          </w:p>
        </w:tc>
      </w:tr>
      <w:tr>
        <w:trPr>
          <w:cantSplit w:val="true"/>
        </w:trPr>
        <w:tc>
          <w:tcPr>
            <w:tcW w:w="2234" w:type="dxa"/>
            <w:vMerge w:val="continue"/>
            <w:tcBorders>
              <w:top w:val="nil"/>
              <w:left w:val="single" w:sz="2" w:space="0" w:color="000001"/>
              <w:bottom w:val="single" w:sz="2" w:space="0" w:color="000001"/>
              <w:right w:val="nil"/>
              <w:insideH w:val="single" w:sz="2" w:space="0" w:color="000001"/>
              <w:insideV w:val="nil"/>
            </w:tcBorders>
            <w:shd w:fill="auto" w:val="clear"/>
            <w:tcMar>
              <w:left w:w="86" w:type="dxa"/>
            </w:tcMar>
          </w:tcPr>
          <w:p>
            <w:pPr>
              <w:pStyle w:val="Normal"/>
              <w:tabs>
                <w:tab w:val="left" w:pos="1440" w:leader="none"/>
              </w:tabs>
              <w:snapToGrid w:val="false"/>
              <w:spacing w:lineRule="auto" w:line="276" w:before="0" w:after="0"/>
              <w:jc w:val="both"/>
              <w:rPr>
                <w:rFonts w:ascii="Arial" w:hAnsi="Arial" w:eastAsia="" w:cs="Times New Roman" w:eastAsiaTheme="minorEastAsia"/>
                <w:color w:val="000000"/>
                <w:sz w:val="22"/>
                <w:szCs w:val="20"/>
              </w:rPr>
            </w:pPr>
            <w:r>
              <w:rPr>
                <w:rFonts w:eastAsia="" w:cs="Times New Roman" w:eastAsiaTheme="minorEastAsia"/>
                <w:color w:val="000000"/>
                <w:sz w:val="22"/>
                <w:szCs w:val="20"/>
              </w:rPr>
            </w:r>
          </w:p>
        </w:tc>
        <w:tc>
          <w:tcPr>
            <w:tcW w:w="4394" w:type="dxa"/>
            <w:tcBorders>
              <w:top w:val="nil"/>
              <w:left w:val="single" w:sz="2" w:space="0" w:color="000001"/>
              <w:bottom w:val="single" w:sz="2" w:space="0" w:color="000001"/>
              <w:right w:val="single" w:sz="2" w:space="0" w:color="000001"/>
              <w:insideH w:val="single" w:sz="2" w:space="0" w:color="000001"/>
              <w:insideV w:val="single" w:sz="2" w:space="0" w:color="000001"/>
            </w:tcBorders>
            <w:shd w:fill="auto" w:val="clear"/>
            <w:tcMar>
              <w:left w:w="86" w:type="dxa"/>
            </w:tcMar>
          </w:tcPr>
          <w:p>
            <w:pPr>
              <w:pStyle w:val="Normal"/>
              <w:tabs>
                <w:tab w:val="left" w:pos="1440" w:leader="none"/>
              </w:tabs>
              <w:snapToGrid w:val="false"/>
              <w:spacing w:lineRule="auto" w:line="276" w:before="0" w:after="0"/>
              <w:jc w:val="both"/>
              <w:rPr>
                <w:rFonts w:cs="Arial"/>
                <w:color w:val="000000"/>
                <w:sz w:val="24"/>
              </w:rPr>
            </w:pPr>
            <w:r>
              <w:rPr>
                <w:rFonts w:eastAsia="" w:cs="Arial"/>
                <w:color w:val="000000"/>
                <w:sz w:val="22"/>
                <w:szCs w:val="22"/>
              </w:rPr>
              <w:t>Passivo Circulante + Passivo Não Circulante</w:t>
            </w:r>
          </w:p>
        </w:tc>
      </w:tr>
    </w:tbl>
    <w:p>
      <w:pPr>
        <w:pStyle w:val="Normal"/>
        <w:tabs>
          <w:tab w:val="left" w:pos="1440" w:leader="none"/>
        </w:tabs>
        <w:snapToGrid w:val="false"/>
        <w:spacing w:lineRule="auto" w:line="276"/>
        <w:ind w:left="1134" w:hanging="0"/>
        <w:jc w:val="both"/>
        <w:rPr>
          <w:rFonts w:ascii="Arial" w:hAnsi="Arial" w:cs="Arial"/>
          <w:color w:val="000000"/>
          <w:sz w:val="22"/>
          <w:szCs w:val="22"/>
        </w:rPr>
      </w:pPr>
      <w:r>
        <w:rPr>
          <w:rFonts w:cs="Arial"/>
          <w:color w:val="000000"/>
          <w:sz w:val="22"/>
          <w:szCs w:val="22"/>
        </w:rPr>
      </w:r>
    </w:p>
    <w:tbl>
      <w:tblPr>
        <w:tblStyle w:val="Tabelacomgrade"/>
        <w:tblW w:w="4786" w:type="dxa"/>
        <w:jc w:val="left"/>
        <w:tblInd w:w="1134" w:type="dxa"/>
        <w:tblCellMar>
          <w:top w:w="55" w:type="dxa"/>
          <w:left w:w="86" w:type="dxa"/>
          <w:bottom w:w="55" w:type="dxa"/>
          <w:right w:w="108" w:type="dxa"/>
        </w:tblCellMar>
        <w:tblLook w:firstRow="1" w:noVBand="1" w:lastRow="0" w:firstColumn="1" w:lastColumn="0" w:noHBand="0" w:val="04a0"/>
      </w:tblPr>
      <w:tblGrid>
        <w:gridCol w:w="2235"/>
        <w:gridCol w:w="2550"/>
      </w:tblGrid>
      <w:tr>
        <w:trPr/>
        <w:tc>
          <w:tcPr>
            <w:tcW w:w="2235" w:type="dxa"/>
            <w:vMerge w:val="restart"/>
            <w:tcBorders>
              <w:top w:val="single" w:sz="2" w:space="0" w:color="000001"/>
              <w:left w:val="single" w:sz="2" w:space="0" w:color="000001"/>
              <w:bottom w:val="single" w:sz="2" w:space="0" w:color="000001"/>
              <w:right w:val="nil"/>
              <w:insideH w:val="single" w:sz="2" w:space="0" w:color="000001"/>
              <w:insideV w:val="nil"/>
            </w:tcBorders>
            <w:shd w:fill="auto" w:val="clear"/>
            <w:tcMar>
              <w:left w:w="86" w:type="dxa"/>
            </w:tcMar>
            <w:vAlign w:val="center"/>
          </w:tcPr>
          <w:p>
            <w:pPr>
              <w:pStyle w:val="Normal"/>
              <w:tabs>
                <w:tab w:val="left" w:pos="1440" w:leader="none"/>
              </w:tabs>
              <w:snapToGrid w:val="false"/>
              <w:spacing w:lineRule="auto" w:line="276" w:before="0" w:after="0"/>
              <w:jc w:val="both"/>
              <w:rPr>
                <w:rFonts w:cs="Arial"/>
                <w:color w:val="000000"/>
                <w:sz w:val="24"/>
              </w:rPr>
            </w:pPr>
            <w:r>
              <w:rPr>
                <w:rFonts w:eastAsia="" w:cs="Arial"/>
                <w:color w:val="000000"/>
                <w:sz w:val="22"/>
                <w:szCs w:val="22"/>
              </w:rPr>
              <w:t>LC =</w:t>
            </w:r>
          </w:p>
        </w:tc>
        <w:tc>
          <w:tcPr>
            <w:tcW w:w="255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86" w:type="dxa"/>
            </w:tcMar>
            <w:vAlign w:val="bottom"/>
          </w:tcPr>
          <w:p>
            <w:pPr>
              <w:pStyle w:val="Normal"/>
              <w:tabs>
                <w:tab w:val="left" w:pos="1440" w:leader="none"/>
              </w:tabs>
              <w:snapToGrid w:val="false"/>
              <w:spacing w:lineRule="auto" w:line="276" w:before="0" w:after="0"/>
              <w:jc w:val="both"/>
              <w:rPr>
                <w:rFonts w:cs="Arial"/>
                <w:color w:val="000000"/>
                <w:sz w:val="24"/>
              </w:rPr>
            </w:pPr>
            <w:r>
              <w:rPr>
                <w:rFonts w:eastAsia="" w:cs="Arial"/>
                <w:color w:val="000000"/>
                <w:sz w:val="22"/>
                <w:szCs w:val="22"/>
              </w:rPr>
              <w:t>Ativo Circulante</w:t>
            </w:r>
          </w:p>
        </w:tc>
      </w:tr>
      <w:tr>
        <w:trPr/>
        <w:tc>
          <w:tcPr>
            <w:tcW w:w="2235" w:type="dxa"/>
            <w:vMerge w:val="continue"/>
            <w:tcBorders>
              <w:top w:val="nil"/>
              <w:left w:val="single" w:sz="2" w:space="0" w:color="000001"/>
              <w:bottom w:val="single" w:sz="2" w:space="0" w:color="000001"/>
              <w:right w:val="nil"/>
              <w:insideH w:val="single" w:sz="2" w:space="0" w:color="000001"/>
              <w:insideV w:val="nil"/>
            </w:tcBorders>
            <w:shd w:fill="auto" w:val="clear"/>
            <w:tcMar>
              <w:left w:w="86" w:type="dxa"/>
            </w:tcMar>
          </w:tcPr>
          <w:p>
            <w:pPr>
              <w:pStyle w:val="Normal"/>
              <w:tabs>
                <w:tab w:val="left" w:pos="1440" w:leader="none"/>
              </w:tabs>
              <w:snapToGrid w:val="false"/>
              <w:spacing w:lineRule="auto" w:line="276" w:before="0" w:after="0"/>
              <w:jc w:val="both"/>
              <w:rPr>
                <w:rFonts w:ascii="Arial" w:hAnsi="Arial" w:eastAsia="" w:cs="Times New Roman" w:eastAsiaTheme="minorEastAsia"/>
                <w:color w:val="000000"/>
                <w:sz w:val="22"/>
                <w:szCs w:val="20"/>
              </w:rPr>
            </w:pPr>
            <w:r>
              <w:rPr>
                <w:rFonts w:eastAsia="" w:cs="Times New Roman" w:eastAsiaTheme="minorEastAsia"/>
                <w:color w:val="000000"/>
                <w:sz w:val="22"/>
                <w:szCs w:val="20"/>
              </w:rPr>
            </w:r>
          </w:p>
        </w:tc>
        <w:tc>
          <w:tcPr>
            <w:tcW w:w="2550" w:type="dxa"/>
            <w:tcBorders>
              <w:top w:val="nil"/>
              <w:left w:val="single" w:sz="2" w:space="0" w:color="000001"/>
              <w:bottom w:val="single" w:sz="2" w:space="0" w:color="000001"/>
              <w:right w:val="single" w:sz="2" w:space="0" w:color="000001"/>
              <w:insideH w:val="single" w:sz="2" w:space="0" w:color="000001"/>
              <w:insideV w:val="single" w:sz="2" w:space="0" w:color="000001"/>
            </w:tcBorders>
            <w:shd w:fill="auto" w:val="clear"/>
            <w:tcMar>
              <w:left w:w="86" w:type="dxa"/>
            </w:tcMar>
          </w:tcPr>
          <w:p>
            <w:pPr>
              <w:pStyle w:val="Normal"/>
              <w:tabs>
                <w:tab w:val="left" w:pos="1440" w:leader="none"/>
              </w:tabs>
              <w:snapToGrid w:val="false"/>
              <w:spacing w:lineRule="auto" w:line="276" w:before="0" w:after="0"/>
              <w:jc w:val="both"/>
              <w:rPr>
                <w:rFonts w:cs="Arial"/>
                <w:color w:val="000000"/>
                <w:sz w:val="24"/>
              </w:rPr>
            </w:pPr>
            <w:r>
              <w:rPr>
                <w:rFonts w:eastAsia="" w:cs="Arial"/>
                <w:color w:val="000000"/>
                <w:sz w:val="22"/>
                <w:szCs w:val="22"/>
              </w:rPr>
              <w:t>Passivo Circulante</w:t>
            </w:r>
          </w:p>
        </w:tc>
      </w:tr>
    </w:tbl>
    <w:p>
      <w:pPr>
        <w:pStyle w:val="Normal"/>
        <w:numPr>
          <w:ilvl w:val="2"/>
          <w:numId w:val="3"/>
        </w:numPr>
        <w:tabs>
          <w:tab w:val="left" w:pos="1440" w:leader="none"/>
        </w:tabs>
        <w:snapToGrid w:val="false"/>
        <w:spacing w:lineRule="auto" w:line="276" w:before="120" w:after="120"/>
        <w:jc w:val="both"/>
        <w:rPr>
          <w:rFonts w:ascii="Arial" w:hAnsi="Arial"/>
        </w:rPr>
      </w:pPr>
      <w:r>
        <w:rPr>
          <w:rFonts w:cs="Arial"/>
          <w:i w:val="false"/>
          <w:iCs w:val="false"/>
          <w:color w:val="000000"/>
          <w:sz w:val="22"/>
          <w:szCs w:val="22"/>
        </w:rPr>
        <w:t>As empresas, que apresentarem resultado inferior ou igual a 1(um) em qualquer dos índices de Liquidez Geral (LG), Solvência Geral (SG) e Liquidez Corrente (LC), deverão comprovar capital ou patrimônio líquido mínimo de 10% (dez) do valor total estimado da contratação ou do item pertinente.</w:t>
      </w:r>
      <w:r>
        <w:rPr>
          <w:rFonts w:cs="Arial"/>
          <w:color w:val="000000"/>
          <w:sz w:val="22"/>
          <w:szCs w:val="22"/>
        </w:rPr>
        <w:t xml:space="preserve"> </w:t>
      </w:r>
    </w:p>
    <w:p>
      <w:pPr>
        <w:pStyle w:val="Normal"/>
        <w:tabs>
          <w:tab w:val="left" w:pos="1440" w:leader="none"/>
        </w:tabs>
        <w:snapToGrid w:val="false"/>
        <w:spacing w:lineRule="auto" w:line="276" w:before="120" w:after="120"/>
        <w:jc w:val="both"/>
        <w:rPr>
          <w:rFonts w:ascii="Arial" w:hAnsi="Arial" w:cs="Arial"/>
          <w:color w:val="000000"/>
          <w:sz w:val="22"/>
          <w:szCs w:val="22"/>
        </w:rPr>
      </w:pPr>
      <w:r>
        <w:rPr>
          <w:rFonts w:cs="Arial"/>
          <w:color w:val="000000"/>
          <w:sz w:val="22"/>
          <w:szCs w:val="22"/>
        </w:rPr>
      </w:r>
    </w:p>
    <w:p>
      <w:pPr>
        <w:pStyle w:val="Normal"/>
        <w:tabs>
          <w:tab w:val="left" w:pos="1440" w:leader="none"/>
        </w:tabs>
        <w:snapToGrid w:val="false"/>
        <w:spacing w:lineRule="auto" w:line="276" w:before="120" w:after="120"/>
        <w:jc w:val="both"/>
        <w:rPr>
          <w:rFonts w:ascii="Arial" w:hAnsi="Arial" w:cs="Arial"/>
          <w:color w:val="000000"/>
          <w:sz w:val="22"/>
          <w:szCs w:val="22"/>
        </w:rPr>
      </w:pPr>
      <w:r>
        <w:rPr>
          <w:rFonts w:cs="Arial"/>
          <w:color w:val="000000"/>
          <w:sz w:val="22"/>
          <w:szCs w:val="22"/>
        </w:rPr>
      </w:r>
    </w:p>
    <w:p>
      <w:pPr>
        <w:pStyle w:val="PADRO"/>
        <w:keepNext w:val="true"/>
        <w:widowControl/>
        <w:numPr>
          <w:ilvl w:val="0"/>
          <w:numId w:val="3"/>
        </w:numPr>
        <w:shd w:val="clear" w:fill="FFFFFF"/>
        <w:spacing w:before="120" w:after="120"/>
        <w:rPr>
          <w:rFonts w:ascii="Arial" w:hAnsi="Arial"/>
          <w:sz w:val="22"/>
          <w:szCs w:val="22"/>
        </w:rPr>
      </w:pPr>
      <w:r>
        <w:rPr>
          <w:rFonts w:cs="Arial" w:ascii="Arial" w:hAnsi="Arial"/>
          <w:b/>
          <w:color w:val="000000"/>
          <w:sz w:val="22"/>
          <w:szCs w:val="22"/>
        </w:rPr>
        <w:t>4. Qualificação</w:t>
      </w:r>
      <w:r>
        <w:rPr>
          <w:rFonts w:cs="Arial" w:ascii="Arial" w:hAnsi="Arial"/>
          <w:b/>
          <w:sz w:val="22"/>
          <w:szCs w:val="22"/>
        </w:rPr>
        <w:t xml:space="preserve"> Técnica</w:t>
      </w:r>
    </w:p>
    <w:p>
      <w:pPr>
        <w:pStyle w:val="PADRO"/>
        <w:keepNext w:val="true"/>
        <w:widowControl/>
        <w:numPr>
          <w:ilvl w:val="1"/>
          <w:numId w:val="3"/>
        </w:numPr>
        <w:shd w:val="clear" w:fill="FFFFFF"/>
        <w:spacing w:before="120" w:after="120"/>
        <w:rPr>
          <w:rFonts w:ascii="Arial" w:hAnsi="Arial" w:cs="Arial"/>
          <w:bCs/>
          <w:color w:val="000000"/>
          <w:sz w:val="24"/>
        </w:rPr>
      </w:pPr>
      <w:bookmarkStart w:id="16" w:name="_Hlk519176340"/>
      <w:bookmarkEnd w:id="16"/>
      <w:r>
        <w:rPr>
          <w:rFonts w:cs="Arial" w:ascii="Arial" w:hAnsi="Arial"/>
          <w:color w:val="000000"/>
          <w:sz w:val="22"/>
          <w:szCs w:val="22"/>
        </w:rPr>
        <w:t xml:space="preserve">Comprovação de aptidão para a prestação dos serviços em características, quantidades e prazos </w:t>
      </w:r>
      <w:r>
        <w:rPr>
          <w:rFonts w:cs="Arial" w:ascii="Arial" w:hAnsi="Arial"/>
          <w:sz w:val="22"/>
          <w:szCs w:val="22"/>
        </w:rPr>
        <w:t>compatíveis</w:t>
      </w:r>
      <w:r>
        <w:rPr>
          <w:rFonts w:cs="Arial" w:ascii="Arial" w:hAnsi="Arial"/>
          <w:color w:val="000000"/>
          <w:sz w:val="22"/>
          <w:szCs w:val="22"/>
        </w:rPr>
        <w:t xml:space="preserve"> com o objeto desta dispensa, ou com o item pertinente, mediante a apresentação de atestado(s) fornecido(s) por pessoas jurídicas de direito público ou privado. </w:t>
      </w:r>
    </w:p>
    <w:p>
      <w:pPr>
        <w:pStyle w:val="PADRO"/>
        <w:keepNext w:val="true"/>
        <w:widowControl/>
        <w:numPr>
          <w:ilvl w:val="2"/>
          <w:numId w:val="3"/>
        </w:numPr>
        <w:shd w:val="clear" w:fill="FFFFFF"/>
        <w:spacing w:before="120" w:after="120"/>
        <w:rPr>
          <w:rFonts w:ascii="Arial" w:hAnsi="Arial"/>
          <w:sz w:val="22"/>
          <w:szCs w:val="22"/>
        </w:rPr>
      </w:pPr>
      <w:r>
        <w:rPr>
          <w:rFonts w:cs="Arial" w:ascii="Arial" w:hAnsi="Arial"/>
          <w:color w:val="000000"/>
          <w:sz w:val="22"/>
          <w:szCs w:val="22"/>
        </w:rPr>
        <w:t>Para fins da comprovação de que trata este subitem, os atestados deverão dizer respeito a contratos executados com as seguintes características mínimas:</w:t>
      </w:r>
    </w:p>
    <w:p>
      <w:pPr>
        <w:pStyle w:val="PADRO"/>
        <w:keepNext w:val="true"/>
        <w:widowControl/>
        <w:numPr>
          <w:ilvl w:val="0"/>
          <w:numId w:val="0"/>
        </w:numPr>
        <w:shd w:val="clear" w:color="auto" w:fill="FFFFFF"/>
        <w:bidi w:val="0"/>
        <w:spacing w:lineRule="auto" w:line="276" w:before="120" w:after="120"/>
        <w:ind w:left="3952" w:right="0" w:hanging="0"/>
        <w:jc w:val="both"/>
        <w:textAlignment w:val="baseline"/>
        <w:rPr>
          <w:rFonts w:ascii="Arial" w:hAnsi="Arial"/>
          <w:sz w:val="22"/>
          <w:szCs w:val="22"/>
        </w:rPr>
      </w:pPr>
      <w:bookmarkStart w:id="17" w:name="_Hlk5191763401"/>
      <w:bookmarkEnd w:id="17"/>
      <w:r>
        <w:rPr>
          <w:rFonts w:cs="Arial" w:ascii="Arial" w:hAnsi="Arial"/>
          <w:b/>
          <w:bCs/>
          <w:color w:val="000000"/>
          <w:sz w:val="22"/>
          <w:szCs w:val="22"/>
        </w:rPr>
        <w:t xml:space="preserve">4.1.1.1. </w:t>
      </w:r>
      <w:bookmarkStart w:id="18" w:name="_Hlk519177062"/>
      <w:bookmarkEnd w:id="18"/>
      <w:r>
        <w:rPr>
          <w:rFonts w:cs="Arial" w:ascii="Arial" w:hAnsi="Arial"/>
          <w:color w:val="000000"/>
          <w:sz w:val="22"/>
          <w:szCs w:val="22"/>
        </w:rPr>
        <w:t xml:space="preserve">Os atestados deverão referir-se a serviços prestados no âmbito de sua atividade econômica principal ou secundária especificadas no contrato social vigente; </w:t>
      </w:r>
    </w:p>
    <w:p>
      <w:pPr>
        <w:pStyle w:val="PADRO"/>
        <w:keepNext w:val="true"/>
        <w:widowControl/>
        <w:numPr>
          <w:ilvl w:val="0"/>
          <w:numId w:val="0"/>
        </w:numPr>
        <w:shd w:val="clear" w:color="auto" w:fill="FFFFFF"/>
        <w:bidi w:val="0"/>
        <w:spacing w:lineRule="auto" w:line="276" w:before="120" w:after="120"/>
        <w:ind w:left="3952" w:right="0" w:hanging="0"/>
        <w:jc w:val="both"/>
        <w:textAlignment w:val="baseline"/>
        <w:rPr>
          <w:rFonts w:ascii="Arial" w:hAnsi="Arial"/>
          <w:sz w:val="22"/>
          <w:szCs w:val="22"/>
        </w:rPr>
      </w:pPr>
      <w:r>
        <w:rPr>
          <w:rFonts w:cs="Arial" w:ascii="Arial" w:hAnsi="Arial"/>
          <w:b/>
          <w:bCs/>
          <w:color w:val="000000"/>
          <w:sz w:val="22"/>
          <w:szCs w:val="22"/>
        </w:rPr>
        <w:t xml:space="preserve">4.1.1.2. </w:t>
      </w:r>
      <w:r>
        <w:rPr>
          <w:rFonts w:cs="Arial" w:ascii="Arial" w:hAnsi="Arial"/>
          <w:color w:val="000000"/>
          <w:sz w:val="22"/>
          <w:szCs w:val="22"/>
        </w:rPr>
        <w:t>O fornecedor disponibilizará todas as informações necessárias à comprovação da legitimidade dos atestados, apresentando, dentre outros documentos, cópia do contrato que deu suporte à contratação, endereço atual da contratante e local em que foram prestados os serviços.</w:t>
      </w:r>
    </w:p>
    <w:p>
      <w:pPr>
        <w:pStyle w:val="PADRO"/>
        <w:keepNext w:val="true"/>
        <w:widowControl/>
        <w:numPr>
          <w:ilvl w:val="0"/>
          <w:numId w:val="0"/>
        </w:numPr>
        <w:shd w:val="clear" w:fill="FFFFFF"/>
        <w:spacing w:before="120" w:after="120"/>
        <w:ind w:left="927" w:hanging="0"/>
        <w:rPr/>
      </w:pPr>
      <w:r>
        <w:rPr/>
      </w:r>
    </w:p>
    <w:sectPr>
      <w:headerReference w:type="default" r:id="rId6"/>
      <w:headerReference w:type="first" r:id="rId7"/>
      <w:footerReference w:type="default" r:id="rId8"/>
      <w:type w:val="nextPage"/>
      <w:pgSz w:w="11906" w:h="16838"/>
      <w:pgMar w:left="1080" w:right="1080" w:header="0" w:top="708" w:footer="708" w:bottom="1440" w:gutter="0"/>
      <w:pgNumType w:fmt="decimal"/>
      <w:formProt w:val="false"/>
      <w:titlePg/>
      <w:textDirection w:val="lrTb"/>
      <w:docGrid w:type="default" w:linePitch="36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libri Light">
    <w:charset w:val="00"/>
    <w:family w:val="roman"/>
    <w:pitch w:val="variable"/>
  </w:font>
  <w:font w:name="Ecofont_Spranq_eco_Sans">
    <w:charset w:val="00"/>
    <w:family w:val="roman"/>
    <w:pitch w:val="variable"/>
  </w:font>
  <w:font w:name="Segoe UI">
    <w:charset w:val="00"/>
    <w:family w:val="roman"/>
    <w:pitch w:val="variable"/>
  </w:font>
  <w:font w:name="Liberation Sans">
    <w:altName w:val="Arial"/>
    <w:charset w:val="00"/>
    <w:family w:val="roman"/>
    <w:pitch w:val="variable"/>
  </w:font>
  <w:font w:name="Arial">
    <w:charset w:val="01"/>
    <w:family w:val="swiss"/>
    <w:pitch w:val="variable"/>
  </w:font>
  <w:font w:name="Rawline">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enter" w:pos="4550" w:leader="none"/>
        <w:tab w:val="left" w:pos="5818" w:leader="none"/>
      </w:tabs>
      <w:ind w:right="260" w:hanging="0"/>
      <w:jc w:val="right"/>
      <w:rPr>
        <w:color w:val="8496B0" w:themeColor="text2" w:themeTint="99"/>
        <w:spacing w:val="60"/>
        <w:sz w:val="24"/>
      </w:rPr>
    </w:pPr>
    <w:r>
      <w:rPr>
        <w:color w:val="8496B0" w:themeColor="text2" w:themeTint="99"/>
        <w:spacing w:val="60"/>
        <w:sz w:val="24"/>
      </w:rPr>
    </w:r>
  </w:p>
  <w:p>
    <w:pPr>
      <w:pStyle w:val="Normal"/>
      <w:tabs>
        <w:tab w:val="center" w:pos="4550" w:leader="none"/>
        <w:tab w:val="left" w:pos="5818" w:leader="none"/>
      </w:tabs>
      <w:ind w:right="260" w:hanging="0"/>
      <w:jc w:val="right"/>
      <w:rPr/>
    </w:pPr>
    <w:r>
      <w:rPr>
        <w:color w:val="8496B0" w:themeColor="text2" w:themeTint="99"/>
        <w:spacing w:val="60"/>
        <w:sz w:val="22"/>
        <w:szCs w:val="22"/>
      </w:rPr>
      <w:t>Página</w:t>
    </w:r>
    <w:r>
      <w:rPr>
        <w:color w:val="8496B0" w:themeColor="text2" w:themeTint="99"/>
        <w:sz w:val="22"/>
        <w:szCs w:val="22"/>
      </w:rPr>
      <w:t xml:space="preserve"> </w:t>
    </w:r>
    <w:r>
      <w:rPr>
        <w:color w:val="8496B0" w:themeColor="text2" w:themeTint="99"/>
        <w:sz w:val="22"/>
        <w:szCs w:val="22"/>
      </w:rPr>
      <w:fldChar w:fldCharType="begin"/>
    </w:r>
    <w:r>
      <w:instrText> PAGE </w:instrText>
    </w:r>
    <w:r>
      <w:fldChar w:fldCharType="separate"/>
    </w:r>
    <w:r>
      <w:t>16</w:t>
    </w:r>
    <w:r>
      <w:fldChar w:fldCharType="end"/>
    </w:r>
    <w:r>
      <w:rPr>
        <w:color w:val="323E4F" w:themeColor="text2" w:themeShade="bf"/>
        <w:sz w:val="22"/>
        <w:szCs w:val="22"/>
      </w:rPr>
      <w:t xml:space="preserve"> | </w:t>
    </w:r>
    <w:r>
      <w:rPr>
        <w:color w:val="323E4F" w:themeColor="text2" w:themeShade="bf"/>
        <w:sz w:val="22"/>
        <w:szCs w:val="22"/>
      </w:rPr>
      <w:fldChar w:fldCharType="begin"/>
    </w:r>
    <w:r>
      <w:instrText> NUMPAGES </w:instrText>
    </w:r>
    <w:r>
      <w:fldChar w:fldCharType="separate"/>
    </w:r>
    <w:r>
      <w:t>16</w:t>
    </w:r>
    <w:r>
      <w:fldChar w:fldCharType="end"/>
    </w:r>
  </w:p>
  <w:p>
    <w:pPr>
      <w:pStyle w:val="Rodap"/>
      <w:rPr/>
    </w:pPr>
    <w:r>
      <w:rPr>
        <w:sz w:val="12"/>
        <w:szCs w:val="12"/>
      </w:rPr>
      <w:t>Câmara Nacional de Modelos de Licitações e Contratos – CNMLC/CGU/AGU</w:t>
    </w:r>
  </w:p>
  <w:p>
    <w:pPr>
      <w:pStyle w:val="Rodap"/>
      <w:rPr/>
    </w:pPr>
    <w:r>
      <w:rPr>
        <w:sz w:val="12"/>
        <w:szCs w:val="12"/>
      </w:rPr>
      <w:t>Aviso de Dispensa Eletrônica – Lei nº 14.133/21 e IN SEGES/ME nº 67/2021</w:t>
    </w:r>
  </w:p>
  <w:p>
    <w:pPr>
      <w:pStyle w:val="Rodap"/>
      <w:rPr/>
    </w:pPr>
    <w:r>
      <w:rPr>
        <w:sz w:val="12"/>
        <w:szCs w:val="12"/>
      </w:rPr>
      <w:t>Versão: Agosto/2021</w:t>
    </w:r>
  </w:p>
  <w:p>
    <w:pPr>
      <w:pStyle w:val="Rodap"/>
      <w:rPr/>
    </w:pPr>
    <w:r>
      <w:rPr>
        <w:sz w:val="12"/>
        <w:szCs w:val="12"/>
      </w:rPr>
      <w:t>Aprovado pela Secretaria de Gestão.</w:t>
    </w:r>
  </w:p>
  <w:p>
    <w:pPr>
      <w:pStyle w:val="Rodap"/>
      <w:rPr/>
    </w:pPr>
    <w:r>
      <w:rPr>
        <w:sz w:val="12"/>
        <w:szCs w:val="12"/>
      </w:rPr>
      <w:t>Identidade visual pela Secretaria de Gestão (versão maio/2022)</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pPr>
    <w:r>
      <w:rPr/>
    </w:r>
  </w:p>
  <w:p>
    <w:pPr>
      <w:pStyle w:val="Cabealho"/>
      <w:rPr/>
    </w:pPr>
    <w:r>
      <w:rPr/>
      <w:drawing>
        <wp:anchor behindDoc="1" distT="0" distB="0" distL="114300" distR="117475" simplePos="0" locked="0" layoutInCell="1" allowOverlap="1" relativeHeight="2">
          <wp:simplePos x="0" y="0"/>
          <wp:positionH relativeFrom="column">
            <wp:posOffset>-685800</wp:posOffset>
          </wp:positionH>
          <wp:positionV relativeFrom="paragraph">
            <wp:posOffset>86995</wp:posOffset>
          </wp:positionV>
          <wp:extent cx="7560310" cy="10692130"/>
          <wp:effectExtent l="0" t="0" r="0" b="0"/>
          <wp:wrapNone/>
          <wp:docPr id="2"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8" descr="Texto&#10;&#10;Descrição gerada automaticamente com confiança média"/>
                  <pic:cNvPicPr>
                    <a:picLocks noChangeAspect="1" noChangeArrowheads="1"/>
                  </pic:cNvPicPr>
                </pic:nvPicPr>
                <pic:blipFill>
                  <a:blip r:embed="rId1"/>
                  <a:stretch>
                    <a:fillRect/>
                  </a:stretch>
                </pic:blipFill>
                <pic:spPr bwMode="auto">
                  <a:xfrm>
                    <a:off x="0" y="0"/>
                    <a:ext cx="7560310" cy="10692130"/>
                  </a:xfrm>
                  <a:prstGeom prst="rect">
                    <a:avLst/>
                  </a:prstGeom>
                </pic:spPr>
              </pic:pic>
            </a:graphicData>
          </a:graphic>
        </wp:anchor>
      </w:drawing>
    </w:r>
  </w:p>
  <w:p>
    <w:pPr>
      <w:pStyle w:val="Cabealho"/>
      <w:rPr/>
    </w:pPr>
    <w:r>
      <w:rPr/>
    </w:r>
  </w:p>
  <w:p>
    <w:pPr>
      <w:pStyle w:val="Cabealho"/>
      <w:rPr/>
    </w:pPr>
    <w:r>
      <w:rPr/>
    </w:r>
  </w:p>
  <w:p>
    <w:pPr>
      <w:pStyle w:val="Cabealho"/>
      <w:rPr/>
    </w:pPr>
    <w:r>
      <w:rPr/>
    </w:r>
  </w:p>
  <w:p>
    <w:pPr>
      <w:pStyle w:val="Cabealho"/>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sz w:val="24"/>
        <w:b/>
        <w:rFonts w:ascii="Arial" w:hAnsi="Arial"/>
      </w:rPr>
    </w:lvl>
    <w:lvl w:ilvl="1">
      <w:start w:val="1"/>
      <w:numFmt w:val="decimal"/>
      <w:lvlText w:val="%1.%2."/>
      <w:lvlJc w:val="left"/>
      <w:pPr>
        <w:ind w:left="792" w:hanging="432"/>
      </w:pPr>
      <w:rPr>
        <w:sz w:val="24"/>
        <w:i w:val="false"/>
        <w:b/>
        <w:iCs/>
        <w:rFonts w:ascii="Arial" w:hAnsi="Arial"/>
      </w:rPr>
    </w:lvl>
    <w:lvl w:ilvl="2">
      <w:start w:val="1"/>
      <w:numFmt w:val="decimal"/>
      <w:lvlText w:val="%1.%2.%3."/>
      <w:lvlJc w:val="left"/>
      <w:pPr>
        <w:ind w:left="1224" w:hanging="504"/>
      </w:pPr>
      <w:rPr>
        <w:sz w:val="24"/>
        <w:i w:val="false"/>
        <w:b/>
        <w:iCs/>
        <w:rFonts w:ascii="Arial" w:hAnsi="Arial" w:cs="Arial"/>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4"/>
      <w:numFmt w:val="decimal"/>
      <w:lvlText w:val="%1"/>
      <w:lvlJc w:val="left"/>
      <w:pPr>
        <w:ind w:left="435" w:hanging="435"/>
      </w:pPr>
    </w:lvl>
    <w:lvl w:ilvl="1">
      <w:start w:val="4"/>
      <w:numFmt w:val="decimal"/>
      <w:lvlText w:val="%1.%2"/>
      <w:lvlJc w:val="left"/>
      <w:pPr>
        <w:ind w:left="1002" w:hanging="435"/>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
    <w:lvl w:ilvl="0">
      <w:start w:val="1"/>
      <w:numFmt w:val="decimal"/>
      <w:lvlText w:val="%1"/>
      <w:lvlJc w:val="left"/>
      <w:pPr>
        <w:ind w:left="360" w:hanging="360"/>
      </w:pPr>
    </w:lvl>
    <w:lvl w:ilvl="1">
      <w:start w:val="1"/>
      <w:numFmt w:val="decimal"/>
      <w:lvlText w:val="%1.%2"/>
      <w:lvlJc w:val="left"/>
      <w:pPr>
        <w:ind w:left="927" w:hanging="360"/>
      </w:pPr>
      <w:rPr>
        <w:sz w:val="24"/>
        <w:b/>
        <w:rFonts w:ascii="Arial" w:hAnsi="Arial"/>
      </w:rPr>
    </w:lvl>
    <w:lvl w:ilvl="2">
      <w:start w:val="1"/>
      <w:numFmt w:val="decimal"/>
      <w:lvlText w:val="%1.%2.%3"/>
      <w:lvlJc w:val="left"/>
      <w:pPr>
        <w:ind w:left="1854" w:hanging="720"/>
      </w:pPr>
      <w:rPr>
        <w:sz w:val="22"/>
        <w:b/>
        <w:rFonts w:ascii="Arial" w:hAnsi="Arial"/>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
    <w:lvl w:ilvl="0">
      <w:start w:val="1"/>
      <w:numFmt w:val="decimal"/>
      <w:lvlText w:val="%1."/>
      <w:lvlJc w:val="left"/>
      <w:pPr>
        <w:ind w:left="360" w:hanging="360"/>
      </w:pPr>
      <w:rPr>
        <w:b/>
      </w:rPr>
    </w:lvl>
    <w:lvl w:ilvl="1">
      <w:start w:val="1"/>
      <w:numFmt w:val="decimal"/>
      <w:lvlText w:val="%1.%2."/>
      <w:lvlJc w:val="left"/>
      <w:pPr>
        <w:ind w:left="792" w:hanging="432"/>
      </w:pPr>
      <w:rPr>
        <w:i w:val="false"/>
        <w:b w:val="false"/>
        <w:iCs/>
      </w:rPr>
    </w:lvl>
    <w:lvl w:ilvl="2">
      <w:start w:val="1"/>
      <w:numFmt w:val="decimal"/>
      <w:lvlText w:val="%1.%2.%3."/>
      <w:lvlJc w:val="left"/>
      <w:pPr>
        <w:ind w:left="1224" w:hanging="504"/>
      </w:pPr>
      <w:rPr>
        <w:i w:val="false"/>
        <w:b w:val="false"/>
        <w:iCs/>
        <w:rFonts w:cs="Arial"/>
        <w:color w:val="00000A"/>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lvl w:ilvl="0">
      <w:start w:val="1"/>
      <w:numFmt w:val="decimal"/>
      <w:lvlText w:val="%1."/>
      <w:lvlJc w:val="left"/>
      <w:pPr>
        <w:ind w:left="360" w:hanging="360"/>
      </w:pPr>
      <w:rPr>
        <w:b/>
      </w:rPr>
    </w:lvl>
    <w:lvl w:ilvl="1">
      <w:start w:val="1"/>
      <w:numFmt w:val="decimal"/>
      <w:lvlText w:val="%1.%2."/>
      <w:lvlJc w:val="left"/>
      <w:pPr>
        <w:ind w:left="792" w:hanging="432"/>
      </w:pPr>
      <w:rPr>
        <w:i w:val="false"/>
        <w:b w:val="false"/>
        <w:iCs/>
      </w:rPr>
    </w:lvl>
    <w:lvl w:ilvl="2">
      <w:start w:val="1"/>
      <w:numFmt w:val="lowerLetter"/>
      <w:lvlText w:val="%3)"/>
      <w:lvlJc w:val="left"/>
      <w:pPr>
        <w:ind w:left="1224" w:hanging="504"/>
      </w:pPr>
      <w:rPr>
        <w:sz w:val="24"/>
        <w:i w:val="false"/>
        <w:b w:val="false"/>
        <w:iCs/>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lvl w:ilvl="0">
      <w:start w:val="1"/>
      <w:numFmt w:val="none"/>
      <w:suff w:val="nothing"/>
      <w:lvlText w:val=""/>
      <w:lvlJc w:val="left"/>
      <w:pPr>
        <w:ind w:left="0" w:hanging="0"/>
      </w:pPr>
      <w:rPr>
        <w:sz w:val="22"/>
        <w:b/>
        <w:rFonts w:ascii="Arial" w:hAnsi="Arial" w:cs="Times New Roman"/>
      </w:r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7">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90"/>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3d0e1a"/>
    <w:pPr>
      <w:widowControl/>
      <w:bidi w:val="0"/>
      <w:spacing w:lineRule="auto" w:line="240" w:before="0" w:after="0"/>
      <w:jc w:val="left"/>
    </w:pPr>
    <w:rPr>
      <w:rFonts w:ascii="Arial" w:hAnsi="Arial" w:eastAsia="Times New Roman" w:cs="Tahoma"/>
      <w:color w:val="00000A"/>
      <w:kern w:val="0"/>
      <w:sz w:val="20"/>
      <w:szCs w:val="24"/>
      <w:lang w:val="pt-BR" w:eastAsia="pt-BR" w:bidi="ar-SA"/>
    </w:rPr>
  </w:style>
  <w:style w:type="paragraph" w:styleId="Ttulo1">
    <w:name w:val="Heading 1"/>
    <w:basedOn w:val="Normal"/>
    <w:next w:val="Normal"/>
    <w:link w:val="Ttulo1Char"/>
    <w:uiPriority w:val="9"/>
    <w:qFormat/>
    <w:rsid w:val="009f7713"/>
    <w:pPr>
      <w:keepNext w:val="true"/>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paragraph" w:styleId="Ttulo2">
    <w:name w:val="Heading 2"/>
    <w:basedOn w:val="Normal"/>
    <w:next w:val="Normal"/>
    <w:qFormat/>
    <w:pPr>
      <w:keepNext w:val="true"/>
      <w:ind w:left="4395" w:right="49" w:hanging="0"/>
      <w:jc w:val="right"/>
      <w:outlineLvl w:val="1"/>
    </w:pPr>
    <w:rPr>
      <w:rFonts w:ascii="Times New Roman" w:hAnsi="Times New Roman" w:cs="Times New Roman"/>
      <w:b/>
      <w:sz w:val="24"/>
    </w:rPr>
  </w:style>
  <w:style w:type="character" w:styleId="DefaultParagraphFont" w:default="1">
    <w:name w:val="Default Paragraph Font"/>
    <w:uiPriority w:val="1"/>
    <w:semiHidden/>
    <w:unhideWhenUsed/>
    <w:qFormat/>
    <w:rPr/>
  </w:style>
  <w:style w:type="character" w:styleId="CitaoChar" w:customStyle="1">
    <w:name w:val="Citação Char"/>
    <w:basedOn w:val="DefaultParagraphFont"/>
    <w:link w:val="Citao"/>
    <w:qFormat/>
    <w:rsid w:val="009f7713"/>
    <w:rPr>
      <w:rFonts w:ascii="Arial" w:hAnsi="Arial" w:eastAsia="Calibri" w:cs="Tahoma"/>
      <w:i/>
      <w:iCs/>
      <w:color w:val="000000"/>
      <w:sz w:val="20"/>
      <w:szCs w:val="24"/>
      <w:shd w:fill="FFFFCC" w:val="clear"/>
    </w:rPr>
  </w:style>
  <w:style w:type="character" w:styleId="Nivel01Char" w:customStyle="1">
    <w:name w:val="Nivel 01 Char"/>
    <w:basedOn w:val="Ttulo1Char"/>
    <w:link w:val="Nivel01"/>
    <w:qFormat/>
    <w:rsid w:val="009f7713"/>
    <w:rPr>
      <w:rFonts w:ascii="Arial" w:hAnsi="Arial" w:eastAsia="" w:cs="Times New Roman" w:eastAsiaTheme="majorEastAsia"/>
      <w:b/>
      <w:bCs/>
      <w:color w:val="000000"/>
      <w:sz w:val="20"/>
      <w:szCs w:val="20"/>
      <w:lang w:eastAsia="pt-BR"/>
    </w:rPr>
  </w:style>
  <w:style w:type="character" w:styleId="Ttulo1Char" w:customStyle="1">
    <w:name w:val="Título 1 Char"/>
    <w:basedOn w:val="DefaultParagraphFont"/>
    <w:link w:val="Ttulo1"/>
    <w:uiPriority w:val="9"/>
    <w:qFormat/>
    <w:rsid w:val="009f7713"/>
    <w:rPr>
      <w:rFonts w:ascii="Calibri Light" w:hAnsi="Calibri Light" w:eastAsia="" w:cs="" w:asciiTheme="majorHAnsi" w:cstheme="majorBidi" w:eastAsiaTheme="majorEastAsia" w:hAnsiTheme="majorHAnsi"/>
      <w:color w:val="2F5496" w:themeColor="accent1" w:themeShade="bf"/>
      <w:sz w:val="32"/>
      <w:szCs w:val="32"/>
      <w:lang w:eastAsia="pt-BR"/>
    </w:rPr>
  </w:style>
  <w:style w:type="character" w:styleId="Citao2Char" w:customStyle="1">
    <w:name w:val="citação 2 Char"/>
    <w:basedOn w:val="CitaoChar"/>
    <w:link w:val="citao2"/>
    <w:qFormat/>
    <w:rsid w:val="006a70c8"/>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a728b9"/>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semiHidden/>
    <w:unhideWhenUsed/>
    <w:qFormat/>
    <w:rsid w:val="003d08af"/>
    <w:rPr>
      <w:sz w:val="16"/>
      <w:szCs w:val="16"/>
    </w:rPr>
  </w:style>
  <w:style w:type="character" w:styleId="TextodecomentrioChar" w:customStyle="1">
    <w:name w:val="Texto de comentário Char"/>
    <w:basedOn w:val="DefaultParagraphFont"/>
    <w:link w:val="Textodecomentrio"/>
    <w:qFormat/>
    <w:rsid w:val="003d08af"/>
    <w:rPr>
      <w:rFonts w:ascii="Arial" w:hAnsi="Arial" w:eastAsia="Times New Roman" w:cs="Tahoma"/>
      <w:sz w:val="20"/>
      <w:szCs w:val="20"/>
      <w:lang w:eastAsia="pt-BR"/>
    </w:rPr>
  </w:style>
  <w:style w:type="character" w:styleId="AssuntodocomentrioChar" w:customStyle="1">
    <w:name w:val="Assunto do comentário Char"/>
    <w:basedOn w:val="TextodecomentrioChar"/>
    <w:link w:val="Assuntodocomentrio"/>
    <w:uiPriority w:val="99"/>
    <w:semiHidden/>
    <w:qFormat/>
    <w:rsid w:val="003d08af"/>
    <w:rPr>
      <w:rFonts w:ascii="Arial" w:hAnsi="Arial" w:eastAsia="Times New Roman" w:cs="Tahoma"/>
      <w:b/>
      <w:bCs/>
      <w:sz w:val="20"/>
      <w:szCs w:val="20"/>
      <w:lang w:eastAsia="pt-BR"/>
    </w:rPr>
  </w:style>
  <w:style w:type="character" w:styleId="LinkdaInternet">
    <w:name w:val="Link da Internet"/>
    <w:uiPriority w:val="99"/>
    <w:rsid w:val="002f5eff"/>
    <w:rPr>
      <w:color w:val="000080"/>
      <w:u w:val="single"/>
    </w:rPr>
  </w:style>
  <w:style w:type="character" w:styleId="Nivel4Char" w:customStyle="1">
    <w:name w:val="Nivel 4 Char"/>
    <w:basedOn w:val="DefaultParagraphFont"/>
    <w:link w:val="Nivel4"/>
    <w:qFormat/>
    <w:rsid w:val="002f5eff"/>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link w:val="Textodebalo"/>
    <w:uiPriority w:val="99"/>
    <w:semiHidden/>
    <w:qFormat/>
    <w:rsid w:val="00731d60"/>
    <w:rPr>
      <w:rFonts w:ascii="Segoe UI" w:hAnsi="Segoe UI" w:eastAsia="Times New Roman" w:cs="Segoe UI"/>
      <w:sz w:val="18"/>
      <w:szCs w:val="18"/>
      <w:lang w:eastAsia="pt-BR"/>
    </w:rPr>
  </w:style>
  <w:style w:type="character" w:styleId="CabealhoChar" w:customStyle="1">
    <w:name w:val="Cabeçalho Char"/>
    <w:basedOn w:val="DefaultParagraphFont"/>
    <w:link w:val="Cabealho"/>
    <w:uiPriority w:val="99"/>
    <w:qFormat/>
    <w:rsid w:val="00805244"/>
    <w:rPr>
      <w:rFonts w:ascii="Arial" w:hAnsi="Arial" w:eastAsia="Times New Roman" w:cs="Tahoma"/>
      <w:sz w:val="20"/>
      <w:szCs w:val="24"/>
      <w:lang w:eastAsia="pt-BR"/>
    </w:rPr>
  </w:style>
  <w:style w:type="character" w:styleId="RodapChar" w:customStyle="1">
    <w:name w:val="Rodapé Char"/>
    <w:basedOn w:val="DefaultParagraphFont"/>
    <w:link w:val="Rodap"/>
    <w:uiPriority w:val="99"/>
    <w:qFormat/>
    <w:rsid w:val="00805244"/>
    <w:rPr>
      <w:rFonts w:ascii="Arial" w:hAnsi="Arial" w:eastAsia="Times New Roman" w:cs="Tahoma"/>
      <w:sz w:val="20"/>
      <w:szCs w:val="24"/>
      <w:lang w:eastAsia="pt-BR"/>
    </w:rPr>
  </w:style>
  <w:style w:type="character" w:styleId="UnresolvedMention" w:customStyle="1">
    <w:name w:val="Unresolved Mention"/>
    <w:basedOn w:val="DefaultParagraphFont"/>
    <w:uiPriority w:val="99"/>
    <w:semiHidden/>
    <w:unhideWhenUsed/>
    <w:qFormat/>
    <w:rsid w:val="009c2bd5"/>
    <w:rPr>
      <w:color w:val="605E5C"/>
      <w:shd w:fill="E1DFDD" w:val="clear"/>
    </w:rPr>
  </w:style>
  <w:style w:type="character" w:styleId="TtuloChar" w:customStyle="1">
    <w:name w:val="Título Char"/>
    <w:basedOn w:val="DefaultParagraphFont"/>
    <w:link w:val="Ttulo"/>
    <w:uiPriority w:val="10"/>
    <w:qFormat/>
    <w:rsid w:val="000453ab"/>
    <w:rPr>
      <w:rFonts w:ascii="Calibri Light" w:hAnsi="Calibri Light" w:eastAsia="" w:cs="" w:asciiTheme="majorHAnsi" w:cstheme="majorBidi" w:eastAsiaTheme="majorEastAsia" w:hAnsiTheme="majorHAnsi"/>
      <w:spacing w:val="-10"/>
      <w:sz w:val="56"/>
      <w:szCs w:val="56"/>
      <w:lang w:eastAsia="pt-BR"/>
    </w:rPr>
  </w:style>
  <w:style w:type="character" w:styleId="ListLabel1">
    <w:name w:val="ListLabel 1"/>
    <w:qFormat/>
    <w:rPr>
      <w:rFonts w:ascii="Arial" w:hAnsi="Arial"/>
      <w:b/>
      <w:sz w:val="24"/>
    </w:rPr>
  </w:style>
  <w:style w:type="character" w:styleId="ListLabel2">
    <w:name w:val="ListLabel 2"/>
    <w:qFormat/>
    <w:rPr>
      <w:rFonts w:ascii="Arial" w:hAnsi="Arial"/>
      <w:b/>
      <w:i w:val="false"/>
      <w:iCs/>
      <w:sz w:val="24"/>
    </w:rPr>
  </w:style>
  <w:style w:type="character" w:styleId="ListLabel3">
    <w:name w:val="ListLabel 3"/>
    <w:qFormat/>
    <w:rPr>
      <w:rFonts w:ascii="Arial" w:hAnsi="Arial" w:cs="Arial"/>
      <w:b/>
      <w:i w:val="false"/>
      <w:iCs/>
      <w:color w:val="00000A"/>
      <w:sz w:val="24"/>
    </w:rPr>
  </w:style>
  <w:style w:type="character" w:styleId="ListLabel4">
    <w:name w:val="ListLabel 4"/>
    <w:qFormat/>
    <w:rPr>
      <w:rFonts w:cs="Arial"/>
    </w:rPr>
  </w:style>
  <w:style w:type="character" w:styleId="ListLabel5">
    <w:name w:val="ListLabel 5"/>
    <w:qFormat/>
    <w:rPr>
      <w:color w:val="00000A"/>
    </w:rPr>
  </w:style>
  <w:style w:type="character" w:styleId="ListLabel6">
    <w:name w:val="ListLabel 6"/>
    <w:qFormat/>
    <w:rPr>
      <w:color w:val="00000A"/>
    </w:rPr>
  </w:style>
  <w:style w:type="character" w:styleId="ListLabel7">
    <w:name w:val="ListLabel 7"/>
    <w:qFormat/>
    <w:rPr>
      <w:color w:val="00000A"/>
    </w:rPr>
  </w:style>
  <w:style w:type="character" w:styleId="ListLabel8">
    <w:name w:val="ListLabel 8"/>
    <w:qFormat/>
    <w:rPr>
      <w:color w:val="00000A"/>
    </w:rPr>
  </w:style>
  <w:style w:type="character" w:styleId="ListLabel9">
    <w:name w:val="ListLabel 9"/>
    <w:qFormat/>
    <w:rPr>
      <w:color w:val="00000A"/>
    </w:rPr>
  </w:style>
  <w:style w:type="character" w:styleId="ListLabel10">
    <w:name w:val="ListLabel 10"/>
    <w:qFormat/>
    <w:rPr>
      <w:color w:val="00000A"/>
    </w:rPr>
  </w:style>
  <w:style w:type="character" w:styleId="ListLabel11">
    <w:name w:val="ListLabel 11"/>
    <w:qFormat/>
    <w:rPr>
      <w:color w:val="00000A"/>
    </w:rPr>
  </w:style>
  <w:style w:type="character" w:styleId="ListLabel12">
    <w:name w:val="ListLabel 12"/>
    <w:qFormat/>
    <w:rPr>
      <w:color w:val="00000A"/>
    </w:rPr>
  </w:style>
  <w:style w:type="character" w:styleId="ListLabel13">
    <w:name w:val="ListLabel 13"/>
    <w:qFormat/>
    <w:rPr>
      <w:color w:val="00000A"/>
    </w:rPr>
  </w:style>
  <w:style w:type="character" w:styleId="ListLabel14">
    <w:name w:val="ListLabel 14"/>
    <w:qFormat/>
    <w:rPr>
      <w:b/>
    </w:rPr>
  </w:style>
  <w:style w:type="character" w:styleId="ListLabel15">
    <w:name w:val="ListLabel 15"/>
    <w:qFormat/>
    <w:rPr>
      <w:b w:val="false"/>
      <w:i w:val="false"/>
      <w:iCs/>
    </w:rPr>
  </w:style>
  <w:style w:type="character" w:styleId="ListLabel16">
    <w:name w:val="ListLabel 16"/>
    <w:qFormat/>
    <w:rPr>
      <w:rFonts w:cs="Arial"/>
      <w:b w:val="false"/>
      <w:i w:val="false"/>
      <w:iCs/>
      <w:color w:val="00000A"/>
    </w:rPr>
  </w:style>
  <w:style w:type="character" w:styleId="ListLabel17">
    <w:name w:val="ListLabel 17"/>
    <w:qFormat/>
    <w:rPr>
      <w:i w:val="false"/>
      <w:color w:val="000000"/>
    </w:rPr>
  </w:style>
  <w:style w:type="character" w:styleId="ListLabel18">
    <w:name w:val="ListLabel 18"/>
    <w:qFormat/>
    <w:rPr>
      <w:i w:val="false"/>
      <w:color w:val="000000"/>
    </w:rPr>
  </w:style>
  <w:style w:type="character" w:styleId="ListLabel19">
    <w:name w:val="ListLabel 19"/>
    <w:qFormat/>
    <w:rPr>
      <w:i w:val="false"/>
      <w:color w:val="000000"/>
    </w:rPr>
  </w:style>
  <w:style w:type="character" w:styleId="ListLabel20">
    <w:name w:val="ListLabel 20"/>
    <w:qFormat/>
    <w:rPr>
      <w:i w:val="false"/>
      <w:color w:val="000000"/>
    </w:rPr>
  </w:style>
  <w:style w:type="character" w:styleId="ListLabel21">
    <w:name w:val="ListLabel 21"/>
    <w:qFormat/>
    <w:rPr>
      <w:i w:val="false"/>
      <w:color w:val="000000"/>
    </w:rPr>
  </w:style>
  <w:style w:type="character" w:styleId="ListLabel22">
    <w:name w:val="ListLabel 22"/>
    <w:qFormat/>
    <w:rPr>
      <w:i w:val="false"/>
      <w:color w:val="000000"/>
    </w:rPr>
  </w:style>
  <w:style w:type="character" w:styleId="ListLabel23">
    <w:name w:val="ListLabel 23"/>
    <w:qFormat/>
    <w:rPr>
      <w:i w:val="false"/>
      <w:color w:val="000000"/>
    </w:rPr>
  </w:style>
  <w:style w:type="character" w:styleId="ListLabel24">
    <w:name w:val="ListLabel 24"/>
    <w:qFormat/>
    <w:rPr>
      <w:i w:val="false"/>
      <w:color w:val="000000"/>
    </w:rPr>
  </w:style>
  <w:style w:type="character" w:styleId="ListLabel25">
    <w:name w:val="ListLabel 25"/>
    <w:qFormat/>
    <w:rPr>
      <w:i w:val="false"/>
      <w:color w:val="000000"/>
    </w:rPr>
  </w:style>
  <w:style w:type="character" w:styleId="ListLabel26">
    <w:name w:val="ListLabel 26"/>
    <w:qFormat/>
    <w:rPr>
      <w:b/>
    </w:rPr>
  </w:style>
  <w:style w:type="character" w:styleId="ListLabel27">
    <w:name w:val="ListLabel 27"/>
    <w:qFormat/>
    <w:rPr>
      <w:b w:val="false"/>
      <w:i w:val="false"/>
      <w:iCs/>
    </w:rPr>
  </w:style>
  <w:style w:type="character" w:styleId="ListLabel28">
    <w:name w:val="ListLabel 28"/>
    <w:qFormat/>
    <w:rPr>
      <w:rFonts w:cs="Arial"/>
      <w:b w:val="false"/>
      <w:i w:val="false"/>
      <w:iCs/>
      <w:color w:val="00000A"/>
    </w:rPr>
  </w:style>
  <w:style w:type="character" w:styleId="ListLabel29">
    <w:name w:val="ListLabel 29"/>
    <w:qFormat/>
    <w:rPr>
      <w:b/>
    </w:rPr>
  </w:style>
  <w:style w:type="character" w:styleId="ListLabel30">
    <w:name w:val="ListLabel 30"/>
    <w:qFormat/>
    <w:rPr>
      <w:b w:val="false"/>
      <w:i w:val="false"/>
      <w:iCs/>
    </w:rPr>
  </w:style>
  <w:style w:type="character" w:styleId="ListLabel31">
    <w:name w:val="ListLabel 31"/>
    <w:qFormat/>
    <w:rPr>
      <w:rFonts w:cs="Arial"/>
      <w:b w:val="false"/>
      <w:i w:val="false"/>
      <w:iCs/>
      <w:color w:val="00000A"/>
    </w:rPr>
  </w:style>
  <w:style w:type="character" w:styleId="ListLabel32">
    <w:name w:val="ListLabel 32"/>
    <w:qFormat/>
    <w:rPr>
      <w:b/>
    </w:rPr>
  </w:style>
  <w:style w:type="character" w:styleId="ListLabel33">
    <w:name w:val="ListLabel 33"/>
    <w:qFormat/>
    <w:rPr>
      <w:b w:val="false"/>
      <w:i w:val="false"/>
      <w:iCs/>
    </w:rPr>
  </w:style>
  <w:style w:type="character" w:styleId="ListLabel34">
    <w:name w:val="ListLabel 34"/>
    <w:qFormat/>
    <w:rPr>
      <w:rFonts w:cs="Arial"/>
      <w:b w:val="false"/>
      <w:i w:val="false"/>
      <w:iCs/>
      <w:color w:val="00000A"/>
    </w:rPr>
  </w:style>
  <w:style w:type="character" w:styleId="ListLabel35">
    <w:name w:val="ListLabel 35"/>
    <w:qFormat/>
    <w:rPr>
      <w:b/>
    </w:rPr>
  </w:style>
  <w:style w:type="character" w:styleId="ListLabel36">
    <w:name w:val="ListLabel 36"/>
    <w:qFormat/>
    <w:rPr>
      <w:b w:val="false"/>
      <w:i w:val="false"/>
      <w:iCs/>
    </w:rPr>
  </w:style>
  <w:style w:type="character" w:styleId="ListLabel37">
    <w:name w:val="ListLabel 37"/>
    <w:qFormat/>
    <w:rPr>
      <w:rFonts w:cs="Arial"/>
      <w:b w:val="false"/>
      <w:i w:val="false"/>
      <w:iCs/>
      <w:color w:val="00000A"/>
    </w:rPr>
  </w:style>
  <w:style w:type="character" w:styleId="ListLabel38">
    <w:name w:val="ListLabel 38"/>
    <w:qFormat/>
    <w:rPr>
      <w:b/>
    </w:rPr>
  </w:style>
  <w:style w:type="character" w:styleId="ListLabel39">
    <w:name w:val="ListLabel 39"/>
    <w:qFormat/>
    <w:rPr>
      <w:b w:val="false"/>
      <w:i w:val="false"/>
      <w:iCs/>
    </w:rPr>
  </w:style>
  <w:style w:type="character" w:styleId="ListLabel40">
    <w:name w:val="ListLabel 40"/>
    <w:qFormat/>
    <w:rPr>
      <w:rFonts w:cs="Arial"/>
      <w:b w:val="false"/>
      <w:i w:val="false"/>
      <w:iCs/>
      <w:color w:val="00000A"/>
    </w:rPr>
  </w:style>
  <w:style w:type="character" w:styleId="ListLabel41">
    <w:name w:val="ListLabel 41"/>
    <w:qFormat/>
    <w:rPr>
      <w:b/>
      <w:i w:val="false"/>
      <w:strike w:val="false"/>
      <w:dstrike w:val="false"/>
    </w:rPr>
  </w:style>
  <w:style w:type="character" w:styleId="ListLabel42">
    <w:name w:val="ListLabel 42"/>
    <w:qFormat/>
    <w:rPr>
      <w:b w:val="false"/>
      <w:strike w:val="false"/>
      <w:dstrike w:val="false"/>
    </w:rPr>
  </w:style>
  <w:style w:type="character" w:styleId="ListLabel43">
    <w:name w:val="ListLabel 43"/>
    <w:qFormat/>
    <w:rPr>
      <w:i w:val="false"/>
      <w:strike w:val="false"/>
      <w:dstrike w:val="false"/>
    </w:rPr>
  </w:style>
  <w:style w:type="character" w:styleId="ListLabel44">
    <w:name w:val="ListLabel 44"/>
    <w:qFormat/>
    <w:rPr>
      <w:b w:val="false"/>
    </w:rPr>
  </w:style>
  <w:style w:type="character" w:styleId="ListLabel45">
    <w:name w:val="ListLabel 45"/>
    <w:qFormat/>
    <w:rPr>
      <w:b w:val="false"/>
    </w:rPr>
  </w:style>
  <w:style w:type="character" w:styleId="ListLabel46">
    <w:name w:val="ListLabel 46"/>
    <w:qFormat/>
    <w:rPr>
      <w:b w:val="false"/>
    </w:rPr>
  </w:style>
  <w:style w:type="character" w:styleId="ListLabel47">
    <w:name w:val="ListLabel 47"/>
    <w:qFormat/>
    <w:rPr>
      <w:b w:val="false"/>
    </w:rPr>
  </w:style>
  <w:style w:type="character" w:styleId="ListLabel48">
    <w:name w:val="ListLabel 48"/>
    <w:qFormat/>
    <w:rPr>
      <w:rFonts w:ascii="Arial" w:hAnsi="Arial"/>
      <w:b/>
      <w:sz w:val="24"/>
    </w:rPr>
  </w:style>
  <w:style w:type="character" w:styleId="ListLabel49">
    <w:name w:val="ListLabel 49"/>
    <w:qFormat/>
    <w:rPr>
      <w:rFonts w:ascii="Arial" w:hAnsi="Arial"/>
      <w:b/>
      <w:sz w:val="24"/>
    </w:rPr>
  </w:style>
  <w:style w:type="character" w:styleId="ListLabel50">
    <w:name w:val="ListLabel 50"/>
    <w:qFormat/>
    <w:rPr>
      <w:b/>
    </w:rPr>
  </w:style>
  <w:style w:type="character" w:styleId="ListLabel51">
    <w:name w:val="ListLabel 51"/>
    <w:qFormat/>
    <w:rPr>
      <w:b w:val="false"/>
      <w:i w:val="false"/>
      <w:iCs/>
    </w:rPr>
  </w:style>
  <w:style w:type="character" w:styleId="ListLabel52">
    <w:name w:val="ListLabel 52"/>
    <w:qFormat/>
    <w:rPr>
      <w:rFonts w:cs="Arial"/>
      <w:b w:val="false"/>
      <w:i w:val="false"/>
      <w:iCs/>
      <w:color w:val="00000A"/>
    </w:rPr>
  </w:style>
  <w:style w:type="character" w:styleId="ListLabel53">
    <w:name w:val="ListLabel 53"/>
    <w:qFormat/>
    <w:rPr>
      <w:rFonts w:cs="Courier New"/>
    </w:rPr>
  </w:style>
  <w:style w:type="character" w:styleId="ListLabel54">
    <w:name w:val="ListLabel 54"/>
    <w:qFormat/>
    <w:rPr>
      <w:rFonts w:cs="Courier New"/>
    </w:rPr>
  </w:style>
  <w:style w:type="character" w:styleId="ListLabel55">
    <w:name w:val="ListLabel 55"/>
    <w:qFormat/>
    <w:rPr>
      <w:rFonts w:cs="Courier New"/>
    </w:rPr>
  </w:style>
  <w:style w:type="character" w:styleId="ListLabel56">
    <w:name w:val="ListLabel 56"/>
    <w:qFormat/>
    <w:rPr>
      <w:b/>
    </w:rPr>
  </w:style>
  <w:style w:type="character" w:styleId="ListLabel57">
    <w:name w:val="ListLabel 57"/>
    <w:qFormat/>
    <w:rPr>
      <w:b w:val="false"/>
      <w:i w:val="false"/>
      <w:iCs/>
    </w:rPr>
  </w:style>
  <w:style w:type="character" w:styleId="ListLabel58">
    <w:name w:val="ListLabel 58"/>
    <w:qFormat/>
    <w:rPr>
      <w:rFonts w:cs="Arial"/>
      <w:b w:val="false"/>
      <w:i w:val="false"/>
      <w:iCs/>
      <w:color w:val="00000A"/>
    </w:rPr>
  </w:style>
  <w:style w:type="character" w:styleId="ListLabel59">
    <w:name w:val="ListLabel 59"/>
    <w:qFormat/>
    <w:rPr>
      <w:rFonts w:eastAsia="" w:cs="Arial"/>
      <w:b/>
    </w:rPr>
  </w:style>
  <w:style w:type="character" w:styleId="ListLabel60">
    <w:name w:val="ListLabel 60"/>
    <w:qFormat/>
    <w:rPr>
      <w:b w:val="false"/>
      <w:i w:val="false"/>
      <w:iCs/>
    </w:rPr>
  </w:style>
  <w:style w:type="character" w:styleId="ListLabel61">
    <w:name w:val="ListLabel 61"/>
    <w:qFormat/>
    <w:rPr>
      <w:b w:val="false"/>
      <w:i w:val="false"/>
      <w:iCs/>
      <w:color w:val="00000A"/>
    </w:rPr>
  </w:style>
  <w:style w:type="character" w:styleId="ListLabel62">
    <w:name w:val="ListLabel 62"/>
    <w:qFormat/>
    <w:rPr>
      <w:b/>
    </w:rPr>
  </w:style>
  <w:style w:type="character" w:styleId="ListLabel63">
    <w:name w:val="ListLabel 63"/>
    <w:qFormat/>
    <w:rPr>
      <w:b w:val="false"/>
      <w:i w:val="false"/>
      <w:iCs/>
    </w:rPr>
  </w:style>
  <w:style w:type="character" w:styleId="ListLabel64">
    <w:name w:val="ListLabel 64"/>
    <w:qFormat/>
    <w:rPr>
      <w:rFonts w:cs="Arial"/>
      <w:b w:val="false"/>
      <w:i w:val="false"/>
      <w:iCs/>
      <w:color w:val="00000A"/>
    </w:rPr>
  </w:style>
  <w:style w:type="character" w:styleId="ListLabel65">
    <w:name w:val="ListLabel 65"/>
    <w:qFormat/>
    <w:rPr>
      <w:b/>
    </w:rPr>
  </w:style>
  <w:style w:type="character" w:styleId="ListLabel66">
    <w:name w:val="ListLabel 66"/>
    <w:qFormat/>
    <w:rPr>
      <w:b w:val="false"/>
      <w:i w:val="false"/>
      <w:iCs/>
    </w:rPr>
  </w:style>
  <w:style w:type="character" w:styleId="ListLabel67">
    <w:name w:val="ListLabel 67"/>
    <w:qFormat/>
    <w:rPr>
      <w:rFonts w:cs="Arial"/>
      <w:b w:val="false"/>
      <w:i w:val="false"/>
      <w:iCs/>
      <w:color w:val="00000A"/>
    </w:rPr>
  </w:style>
  <w:style w:type="character" w:styleId="ListLabel68">
    <w:name w:val="ListLabel 68"/>
    <w:qFormat/>
    <w:rPr>
      <w:b/>
    </w:rPr>
  </w:style>
  <w:style w:type="character" w:styleId="ListLabel69">
    <w:name w:val="ListLabel 69"/>
    <w:qFormat/>
    <w:rPr>
      <w:b w:val="false"/>
      <w:i w:val="false"/>
      <w:iCs/>
    </w:rPr>
  </w:style>
  <w:style w:type="character" w:styleId="ListLabel70">
    <w:name w:val="ListLabel 70"/>
    <w:qFormat/>
    <w:rPr>
      <w:b w:val="false"/>
      <w:i w:val="false"/>
      <w:iCs/>
      <w:color w:val="00000A"/>
      <w:sz w:val="24"/>
    </w:rPr>
  </w:style>
  <w:style w:type="character" w:styleId="Vnculodendice">
    <w:name w:val="Vínculo de índice"/>
    <w:qFormat/>
    <w:rPr/>
  </w:style>
  <w:style w:type="character" w:styleId="Fontepargpadro">
    <w:name w:val="Fonte parág. padrão"/>
    <w:qFormat/>
    <w:rPr/>
  </w:style>
  <w:style w:type="character" w:styleId="Unknown0">
    <w:name w:val="Unknown 0"/>
    <w:qFormat/>
    <w:rPr>
      <w:rFonts w:ascii="Times New Roman" w:hAnsi="Times New Roman" w:eastAsia="ヒラギノ角ゴ Pro W3" w:cs="Times New Roman"/>
      <w:b w:val="false"/>
      <w:i w:val="false"/>
      <w:caps w:val="false"/>
      <w:smallCaps w:val="false"/>
      <w:strike w:val="false"/>
      <w:dstrike w:val="false"/>
      <w:outline w:val="false"/>
      <w:vanish w:val="false"/>
      <w:color w:val="000000"/>
      <w:spacing w:val="0"/>
      <w:position w:val="0"/>
      <w:sz w:val="24"/>
      <w:sz w:val="24"/>
      <w:u w:val="none"/>
      <w:vertAlign w:val="baseline"/>
      <w:lang w:val="pt-BR"/>
    </w:rPr>
  </w:style>
  <w:style w:type="character" w:styleId="Unknown01">
    <w:name w:val="Unknown 0 1"/>
    <w:qFormat/>
    <w:rPr>
      <w:caps w:val="false"/>
      <w:smallCaps w:val="false"/>
      <w:strike w:val="false"/>
      <w:dstrike w:val="false"/>
      <w:outline w:val="false"/>
      <w:vanish w:val="false"/>
      <w:color w:val="000000"/>
      <w:spacing w:val="0"/>
      <w:position w:val="0"/>
      <w:sz w:val="24"/>
      <w:sz w:val="24"/>
      <w:vertAlign w:val="baseline"/>
      <w:lang w:val="pt-BR"/>
    </w:rPr>
  </w:style>
  <w:style w:type="character" w:styleId="WW8Num2z0">
    <w:name w:val="WW8Num2z0"/>
    <w:qFormat/>
    <w:rPr>
      <w:rFonts w:cs="Times New Roman"/>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ListLabel71">
    <w:name w:val="ListLabel 71"/>
    <w:qFormat/>
    <w:rPr>
      <w:rFonts w:ascii="Arial" w:hAnsi="Arial"/>
      <w:b/>
      <w:sz w:val="24"/>
    </w:rPr>
  </w:style>
  <w:style w:type="character" w:styleId="ListLabel72">
    <w:name w:val="ListLabel 72"/>
    <w:qFormat/>
    <w:rPr>
      <w:rFonts w:ascii="Arial" w:hAnsi="Arial"/>
      <w:b/>
      <w:i w:val="false"/>
      <w:iCs/>
      <w:sz w:val="24"/>
    </w:rPr>
  </w:style>
  <w:style w:type="character" w:styleId="ListLabel73">
    <w:name w:val="ListLabel 73"/>
    <w:qFormat/>
    <w:rPr>
      <w:rFonts w:cs="Arial"/>
      <w:b/>
      <w:i w:val="false"/>
      <w:iCs/>
      <w:color w:val="00000A"/>
      <w:sz w:val="24"/>
    </w:rPr>
  </w:style>
  <w:style w:type="character" w:styleId="ListLabel74">
    <w:name w:val="ListLabel 74"/>
    <w:qFormat/>
    <w:rPr>
      <w:rFonts w:ascii="Arial" w:hAnsi="Arial"/>
      <w:b/>
      <w:sz w:val="24"/>
    </w:rPr>
  </w:style>
  <w:style w:type="character" w:styleId="ListLabel75">
    <w:name w:val="ListLabel 75"/>
    <w:qFormat/>
    <w:rPr>
      <w:rFonts w:ascii="Arial" w:hAnsi="Arial"/>
      <w:b/>
      <w:sz w:val="24"/>
    </w:rPr>
  </w:style>
  <w:style w:type="character" w:styleId="ListLabel76">
    <w:name w:val="ListLabel 76"/>
    <w:qFormat/>
    <w:rPr>
      <w:b/>
    </w:rPr>
  </w:style>
  <w:style w:type="character" w:styleId="ListLabel77">
    <w:name w:val="ListLabel 77"/>
    <w:qFormat/>
    <w:rPr>
      <w:b w:val="false"/>
      <w:i w:val="false"/>
      <w:iCs/>
    </w:rPr>
  </w:style>
  <w:style w:type="character" w:styleId="ListLabel78">
    <w:name w:val="ListLabel 78"/>
    <w:qFormat/>
    <w:rPr>
      <w:rFonts w:cs="Arial"/>
      <w:b w:val="false"/>
      <w:i w:val="false"/>
      <w:iCs/>
      <w:color w:val="00000A"/>
    </w:rPr>
  </w:style>
  <w:style w:type="character" w:styleId="ListLabel79">
    <w:name w:val="ListLabel 79"/>
    <w:qFormat/>
    <w:rPr>
      <w:b/>
    </w:rPr>
  </w:style>
  <w:style w:type="character" w:styleId="ListLabel80">
    <w:name w:val="ListLabel 80"/>
    <w:qFormat/>
    <w:rPr>
      <w:b w:val="false"/>
      <w:i w:val="false"/>
      <w:iCs/>
    </w:rPr>
  </w:style>
  <w:style w:type="character" w:styleId="ListLabel81">
    <w:name w:val="ListLabel 81"/>
    <w:qFormat/>
    <w:rPr>
      <w:b w:val="false"/>
      <w:i w:val="false"/>
      <w:iCs/>
      <w:color w:val="00000A"/>
      <w:sz w:val="24"/>
    </w:rPr>
  </w:style>
  <w:style w:type="character" w:styleId="ListLabel82">
    <w:name w:val="ListLabel 82"/>
    <w:qFormat/>
    <w:rPr>
      <w:rFonts w:ascii="Liberation Sans" w:hAnsi="Liberation Sans" w:cs="Times New Roman"/>
      <w:b/>
      <w:sz w:val="24"/>
    </w:rPr>
  </w:style>
  <w:style w:type="character" w:styleId="ListLabel83">
    <w:name w:val="ListLabel 83"/>
    <w:qFormat/>
    <w:rPr>
      <w:rFonts w:ascii="Arial" w:hAnsi="Arial"/>
      <w:b/>
      <w:sz w:val="24"/>
    </w:rPr>
  </w:style>
  <w:style w:type="character" w:styleId="ListLabel84">
    <w:name w:val="ListLabel 84"/>
    <w:qFormat/>
    <w:rPr>
      <w:rFonts w:ascii="Arial" w:hAnsi="Arial"/>
      <w:b/>
      <w:i w:val="false"/>
      <w:iCs/>
      <w:sz w:val="24"/>
    </w:rPr>
  </w:style>
  <w:style w:type="character" w:styleId="ListLabel85">
    <w:name w:val="ListLabel 85"/>
    <w:qFormat/>
    <w:rPr>
      <w:rFonts w:cs="Arial"/>
      <w:b/>
      <w:i w:val="false"/>
      <w:iCs/>
      <w:color w:val="00000A"/>
      <w:sz w:val="24"/>
    </w:rPr>
  </w:style>
  <w:style w:type="character" w:styleId="ListLabel86">
    <w:name w:val="ListLabel 86"/>
    <w:qFormat/>
    <w:rPr>
      <w:rFonts w:ascii="Arial" w:hAnsi="Arial"/>
      <w:b/>
      <w:sz w:val="24"/>
    </w:rPr>
  </w:style>
  <w:style w:type="character" w:styleId="ListLabel87">
    <w:name w:val="ListLabel 87"/>
    <w:qFormat/>
    <w:rPr>
      <w:rFonts w:ascii="Arial" w:hAnsi="Arial"/>
      <w:b/>
      <w:sz w:val="24"/>
    </w:rPr>
  </w:style>
  <w:style w:type="character" w:styleId="ListLabel88">
    <w:name w:val="ListLabel 88"/>
    <w:qFormat/>
    <w:rPr>
      <w:b/>
    </w:rPr>
  </w:style>
  <w:style w:type="character" w:styleId="ListLabel89">
    <w:name w:val="ListLabel 89"/>
    <w:qFormat/>
    <w:rPr>
      <w:b w:val="false"/>
      <w:i w:val="false"/>
      <w:iCs/>
    </w:rPr>
  </w:style>
  <w:style w:type="character" w:styleId="ListLabel90">
    <w:name w:val="ListLabel 90"/>
    <w:qFormat/>
    <w:rPr>
      <w:rFonts w:cs="Arial"/>
      <w:b w:val="false"/>
      <w:i w:val="false"/>
      <w:iCs/>
      <w:color w:val="00000A"/>
    </w:rPr>
  </w:style>
  <w:style w:type="character" w:styleId="ListLabel91">
    <w:name w:val="ListLabel 91"/>
    <w:qFormat/>
    <w:rPr>
      <w:b/>
    </w:rPr>
  </w:style>
  <w:style w:type="character" w:styleId="ListLabel92">
    <w:name w:val="ListLabel 92"/>
    <w:qFormat/>
    <w:rPr>
      <w:b w:val="false"/>
      <w:i w:val="false"/>
      <w:iCs/>
    </w:rPr>
  </w:style>
  <w:style w:type="character" w:styleId="ListLabel93">
    <w:name w:val="ListLabel 93"/>
    <w:qFormat/>
    <w:rPr>
      <w:b w:val="false"/>
      <w:i w:val="false"/>
      <w:iCs/>
      <w:color w:val="00000A"/>
      <w:sz w:val="24"/>
    </w:rPr>
  </w:style>
  <w:style w:type="character" w:styleId="ListLabel94">
    <w:name w:val="ListLabel 94"/>
    <w:qFormat/>
    <w:rPr>
      <w:rFonts w:cs="Times New Roman"/>
      <w:b/>
      <w:sz w:val="24"/>
    </w:rPr>
  </w:style>
  <w:style w:type="character" w:styleId="ListLabel95">
    <w:name w:val="ListLabel 95"/>
    <w:qFormat/>
    <w:rPr>
      <w:rFonts w:ascii="Arial" w:hAnsi="Arial"/>
      <w:b/>
      <w:sz w:val="24"/>
    </w:rPr>
  </w:style>
  <w:style w:type="character" w:styleId="ListLabel96">
    <w:name w:val="ListLabel 96"/>
    <w:qFormat/>
    <w:rPr>
      <w:rFonts w:ascii="Arial" w:hAnsi="Arial"/>
      <w:b/>
      <w:i w:val="false"/>
      <w:iCs/>
      <w:sz w:val="24"/>
    </w:rPr>
  </w:style>
  <w:style w:type="character" w:styleId="ListLabel97">
    <w:name w:val="ListLabel 97"/>
    <w:qFormat/>
    <w:rPr>
      <w:rFonts w:cs="Arial"/>
      <w:b/>
      <w:i w:val="false"/>
      <w:iCs/>
      <w:color w:val="00000A"/>
      <w:sz w:val="24"/>
    </w:rPr>
  </w:style>
  <w:style w:type="character" w:styleId="ListLabel98">
    <w:name w:val="ListLabel 98"/>
    <w:qFormat/>
    <w:rPr>
      <w:rFonts w:ascii="Arial" w:hAnsi="Arial"/>
      <w:b/>
      <w:sz w:val="24"/>
    </w:rPr>
  </w:style>
  <w:style w:type="character" w:styleId="ListLabel99">
    <w:name w:val="ListLabel 99"/>
    <w:qFormat/>
    <w:rPr>
      <w:rFonts w:ascii="Arial" w:hAnsi="Arial"/>
      <w:b/>
      <w:sz w:val="24"/>
    </w:rPr>
  </w:style>
  <w:style w:type="character" w:styleId="ListLabel100">
    <w:name w:val="ListLabel 100"/>
    <w:qFormat/>
    <w:rPr>
      <w:b/>
    </w:rPr>
  </w:style>
  <w:style w:type="character" w:styleId="ListLabel101">
    <w:name w:val="ListLabel 101"/>
    <w:qFormat/>
    <w:rPr>
      <w:b w:val="false"/>
      <w:i w:val="false"/>
      <w:iCs/>
    </w:rPr>
  </w:style>
  <w:style w:type="character" w:styleId="ListLabel102">
    <w:name w:val="ListLabel 102"/>
    <w:qFormat/>
    <w:rPr>
      <w:rFonts w:cs="Arial"/>
      <w:b w:val="false"/>
      <w:i w:val="false"/>
      <w:iCs/>
      <w:color w:val="00000A"/>
    </w:rPr>
  </w:style>
  <w:style w:type="character" w:styleId="ListLabel103">
    <w:name w:val="ListLabel 103"/>
    <w:qFormat/>
    <w:rPr>
      <w:b/>
    </w:rPr>
  </w:style>
  <w:style w:type="character" w:styleId="ListLabel104">
    <w:name w:val="ListLabel 104"/>
    <w:qFormat/>
    <w:rPr>
      <w:b w:val="false"/>
      <w:i w:val="false"/>
      <w:iCs/>
    </w:rPr>
  </w:style>
  <w:style w:type="character" w:styleId="ListLabel105">
    <w:name w:val="ListLabel 105"/>
    <w:qFormat/>
    <w:rPr>
      <w:b w:val="false"/>
      <w:i w:val="false"/>
      <w:iCs/>
      <w:color w:val="00000A"/>
      <w:sz w:val="24"/>
    </w:rPr>
  </w:style>
  <w:style w:type="character" w:styleId="ListLabel106">
    <w:name w:val="ListLabel 106"/>
    <w:qFormat/>
    <w:rPr>
      <w:rFonts w:cs="Times New Roman"/>
      <w:b/>
      <w:sz w:val="24"/>
    </w:rPr>
  </w:style>
  <w:style w:type="character" w:styleId="ListLabel107">
    <w:name w:val="ListLabel 107"/>
    <w:qFormat/>
    <w:rPr>
      <w:rFonts w:ascii="Arial" w:hAnsi="Arial"/>
      <w:b/>
      <w:sz w:val="24"/>
    </w:rPr>
  </w:style>
  <w:style w:type="character" w:styleId="ListLabel108">
    <w:name w:val="ListLabel 108"/>
    <w:qFormat/>
    <w:rPr>
      <w:rFonts w:ascii="Arial" w:hAnsi="Arial"/>
      <w:b/>
      <w:i w:val="false"/>
      <w:iCs/>
      <w:sz w:val="24"/>
    </w:rPr>
  </w:style>
  <w:style w:type="character" w:styleId="ListLabel109">
    <w:name w:val="ListLabel 109"/>
    <w:qFormat/>
    <w:rPr>
      <w:rFonts w:cs="Arial"/>
      <w:b/>
      <w:i w:val="false"/>
      <w:iCs/>
      <w:color w:val="00000A"/>
      <w:sz w:val="24"/>
    </w:rPr>
  </w:style>
  <w:style w:type="character" w:styleId="ListLabel110">
    <w:name w:val="ListLabel 110"/>
    <w:qFormat/>
    <w:rPr>
      <w:rFonts w:ascii="Arial" w:hAnsi="Arial"/>
      <w:b/>
      <w:sz w:val="24"/>
    </w:rPr>
  </w:style>
  <w:style w:type="character" w:styleId="ListLabel111">
    <w:name w:val="ListLabel 111"/>
    <w:qFormat/>
    <w:rPr>
      <w:rFonts w:ascii="Arial" w:hAnsi="Arial"/>
      <w:b/>
      <w:sz w:val="24"/>
    </w:rPr>
  </w:style>
  <w:style w:type="character" w:styleId="ListLabel112">
    <w:name w:val="ListLabel 112"/>
    <w:qFormat/>
    <w:rPr>
      <w:b/>
    </w:rPr>
  </w:style>
  <w:style w:type="character" w:styleId="ListLabel113">
    <w:name w:val="ListLabel 113"/>
    <w:qFormat/>
    <w:rPr>
      <w:b w:val="false"/>
      <w:i w:val="false"/>
      <w:iCs/>
    </w:rPr>
  </w:style>
  <w:style w:type="character" w:styleId="ListLabel114">
    <w:name w:val="ListLabel 114"/>
    <w:qFormat/>
    <w:rPr>
      <w:rFonts w:cs="Arial"/>
      <w:b w:val="false"/>
      <w:i w:val="false"/>
      <w:iCs/>
      <w:color w:val="00000A"/>
    </w:rPr>
  </w:style>
  <w:style w:type="character" w:styleId="ListLabel115">
    <w:name w:val="ListLabel 115"/>
    <w:qFormat/>
    <w:rPr>
      <w:b/>
    </w:rPr>
  </w:style>
  <w:style w:type="character" w:styleId="ListLabel116">
    <w:name w:val="ListLabel 116"/>
    <w:qFormat/>
    <w:rPr>
      <w:b w:val="false"/>
      <w:i w:val="false"/>
      <w:iCs/>
    </w:rPr>
  </w:style>
  <w:style w:type="character" w:styleId="ListLabel117">
    <w:name w:val="ListLabel 117"/>
    <w:qFormat/>
    <w:rPr>
      <w:b w:val="false"/>
      <w:i w:val="false"/>
      <w:iCs/>
      <w:color w:val="00000A"/>
      <w:sz w:val="24"/>
    </w:rPr>
  </w:style>
  <w:style w:type="character" w:styleId="ListLabel118">
    <w:name w:val="ListLabel 118"/>
    <w:qFormat/>
    <w:rPr>
      <w:rFonts w:cs="Times New Roman"/>
      <w:b/>
      <w:sz w:val="24"/>
    </w:rPr>
  </w:style>
  <w:style w:type="character" w:styleId="ListLabel119">
    <w:name w:val="ListLabel 119"/>
    <w:qFormat/>
    <w:rPr>
      <w:rFonts w:ascii="Arial" w:hAnsi="Arial"/>
      <w:b/>
      <w:sz w:val="24"/>
    </w:rPr>
  </w:style>
  <w:style w:type="character" w:styleId="ListLabel120">
    <w:name w:val="ListLabel 120"/>
    <w:qFormat/>
    <w:rPr>
      <w:rFonts w:ascii="Arial" w:hAnsi="Arial"/>
      <w:b/>
      <w:i w:val="false"/>
      <w:iCs/>
      <w:sz w:val="24"/>
    </w:rPr>
  </w:style>
  <w:style w:type="character" w:styleId="ListLabel121">
    <w:name w:val="ListLabel 121"/>
    <w:qFormat/>
    <w:rPr>
      <w:rFonts w:cs="Arial"/>
      <w:b/>
      <w:i w:val="false"/>
      <w:iCs/>
      <w:color w:val="00000A"/>
      <w:sz w:val="24"/>
    </w:rPr>
  </w:style>
  <w:style w:type="character" w:styleId="ListLabel122">
    <w:name w:val="ListLabel 122"/>
    <w:qFormat/>
    <w:rPr>
      <w:rFonts w:ascii="Arial" w:hAnsi="Arial"/>
      <w:b/>
      <w:sz w:val="24"/>
    </w:rPr>
  </w:style>
  <w:style w:type="character" w:styleId="ListLabel123">
    <w:name w:val="ListLabel 123"/>
    <w:qFormat/>
    <w:rPr>
      <w:rFonts w:ascii="Arial" w:hAnsi="Arial"/>
      <w:b/>
      <w:sz w:val="24"/>
    </w:rPr>
  </w:style>
  <w:style w:type="character" w:styleId="ListLabel124">
    <w:name w:val="ListLabel 124"/>
    <w:qFormat/>
    <w:rPr>
      <w:b/>
    </w:rPr>
  </w:style>
  <w:style w:type="character" w:styleId="ListLabel125">
    <w:name w:val="ListLabel 125"/>
    <w:qFormat/>
    <w:rPr>
      <w:b w:val="false"/>
      <w:i w:val="false"/>
      <w:iCs/>
    </w:rPr>
  </w:style>
  <w:style w:type="character" w:styleId="ListLabel126">
    <w:name w:val="ListLabel 126"/>
    <w:qFormat/>
    <w:rPr>
      <w:rFonts w:cs="Arial"/>
      <w:b w:val="false"/>
      <w:i w:val="false"/>
      <w:iCs/>
      <w:color w:val="00000A"/>
    </w:rPr>
  </w:style>
  <w:style w:type="character" w:styleId="ListLabel127">
    <w:name w:val="ListLabel 127"/>
    <w:qFormat/>
    <w:rPr>
      <w:b/>
    </w:rPr>
  </w:style>
  <w:style w:type="character" w:styleId="ListLabel128">
    <w:name w:val="ListLabel 128"/>
    <w:qFormat/>
    <w:rPr>
      <w:b w:val="false"/>
      <w:i w:val="false"/>
      <w:iCs/>
    </w:rPr>
  </w:style>
  <w:style w:type="character" w:styleId="ListLabel129">
    <w:name w:val="ListLabel 129"/>
    <w:qFormat/>
    <w:rPr>
      <w:b w:val="false"/>
      <w:i w:val="false"/>
      <w:iCs/>
      <w:color w:val="00000A"/>
      <w:sz w:val="24"/>
    </w:rPr>
  </w:style>
  <w:style w:type="character" w:styleId="ListLabel130">
    <w:name w:val="ListLabel 130"/>
    <w:qFormat/>
    <w:rPr>
      <w:rFonts w:cs="Times New Roman"/>
      <w:b/>
      <w:sz w:val="24"/>
    </w:rPr>
  </w:style>
  <w:style w:type="character" w:styleId="ListLabel131">
    <w:name w:val="ListLabel 131"/>
    <w:qFormat/>
    <w:rPr>
      <w:rFonts w:ascii="Arial" w:hAnsi="Arial"/>
      <w:b/>
      <w:sz w:val="24"/>
    </w:rPr>
  </w:style>
  <w:style w:type="character" w:styleId="ListLabel132">
    <w:name w:val="ListLabel 132"/>
    <w:qFormat/>
    <w:rPr>
      <w:rFonts w:ascii="Arial" w:hAnsi="Arial"/>
      <w:b/>
      <w:i w:val="false"/>
      <w:iCs/>
      <w:sz w:val="24"/>
    </w:rPr>
  </w:style>
  <w:style w:type="character" w:styleId="ListLabel133">
    <w:name w:val="ListLabel 133"/>
    <w:qFormat/>
    <w:rPr>
      <w:rFonts w:cs="Arial"/>
      <w:b/>
      <w:i w:val="false"/>
      <w:iCs/>
      <w:color w:val="00000A"/>
      <w:sz w:val="24"/>
    </w:rPr>
  </w:style>
  <w:style w:type="character" w:styleId="ListLabel134">
    <w:name w:val="ListLabel 134"/>
    <w:qFormat/>
    <w:rPr>
      <w:rFonts w:ascii="Arial" w:hAnsi="Arial"/>
      <w:b/>
      <w:sz w:val="24"/>
    </w:rPr>
  </w:style>
  <w:style w:type="character" w:styleId="ListLabel135">
    <w:name w:val="ListLabel 135"/>
    <w:qFormat/>
    <w:rPr>
      <w:rFonts w:ascii="Arial" w:hAnsi="Arial"/>
      <w:b/>
      <w:sz w:val="24"/>
    </w:rPr>
  </w:style>
  <w:style w:type="character" w:styleId="ListLabel136">
    <w:name w:val="ListLabel 136"/>
    <w:qFormat/>
    <w:rPr>
      <w:b/>
    </w:rPr>
  </w:style>
  <w:style w:type="character" w:styleId="ListLabel137">
    <w:name w:val="ListLabel 137"/>
    <w:qFormat/>
    <w:rPr>
      <w:b w:val="false"/>
      <w:i w:val="false"/>
      <w:iCs/>
    </w:rPr>
  </w:style>
  <w:style w:type="character" w:styleId="ListLabel138">
    <w:name w:val="ListLabel 138"/>
    <w:qFormat/>
    <w:rPr>
      <w:rFonts w:cs="Arial"/>
      <w:b w:val="false"/>
      <w:i w:val="false"/>
      <w:iCs/>
      <w:color w:val="00000A"/>
    </w:rPr>
  </w:style>
  <w:style w:type="character" w:styleId="ListLabel139">
    <w:name w:val="ListLabel 139"/>
    <w:qFormat/>
    <w:rPr>
      <w:b/>
    </w:rPr>
  </w:style>
  <w:style w:type="character" w:styleId="ListLabel140">
    <w:name w:val="ListLabel 140"/>
    <w:qFormat/>
    <w:rPr>
      <w:b w:val="false"/>
      <w:i w:val="false"/>
      <w:iCs/>
    </w:rPr>
  </w:style>
  <w:style w:type="character" w:styleId="ListLabel141">
    <w:name w:val="ListLabel 141"/>
    <w:qFormat/>
    <w:rPr>
      <w:b w:val="false"/>
      <w:i w:val="false"/>
      <w:iCs/>
      <w:color w:val="00000A"/>
      <w:sz w:val="24"/>
    </w:rPr>
  </w:style>
  <w:style w:type="character" w:styleId="ListLabel142">
    <w:name w:val="ListLabel 142"/>
    <w:qFormat/>
    <w:rPr>
      <w:rFonts w:cs="Times New Roman"/>
      <w:b/>
      <w:sz w:val="24"/>
    </w:rPr>
  </w:style>
  <w:style w:type="character" w:styleId="ListLabel143">
    <w:name w:val="ListLabel 143"/>
    <w:qFormat/>
    <w:rPr>
      <w:rFonts w:ascii="Arial" w:hAnsi="Arial"/>
      <w:b/>
      <w:sz w:val="24"/>
    </w:rPr>
  </w:style>
  <w:style w:type="character" w:styleId="ListLabel144">
    <w:name w:val="ListLabel 144"/>
    <w:qFormat/>
    <w:rPr>
      <w:rFonts w:ascii="Arial" w:hAnsi="Arial"/>
      <w:b/>
      <w:i w:val="false"/>
      <w:iCs/>
      <w:sz w:val="24"/>
    </w:rPr>
  </w:style>
  <w:style w:type="character" w:styleId="ListLabel145">
    <w:name w:val="ListLabel 145"/>
    <w:qFormat/>
    <w:rPr>
      <w:rFonts w:ascii="Arial" w:hAnsi="Arial" w:cs="Arial"/>
      <w:b/>
      <w:i w:val="false"/>
      <w:iCs/>
      <w:color w:val="00000A"/>
      <w:sz w:val="24"/>
    </w:rPr>
  </w:style>
  <w:style w:type="character" w:styleId="ListLabel146">
    <w:name w:val="ListLabel 146"/>
    <w:qFormat/>
    <w:rPr>
      <w:rFonts w:ascii="Arial" w:hAnsi="Arial"/>
      <w:b/>
      <w:sz w:val="24"/>
    </w:rPr>
  </w:style>
  <w:style w:type="character" w:styleId="ListLabel147">
    <w:name w:val="ListLabel 147"/>
    <w:qFormat/>
    <w:rPr>
      <w:rFonts w:ascii="Arial" w:hAnsi="Arial"/>
      <w:b/>
      <w:sz w:val="22"/>
    </w:rPr>
  </w:style>
  <w:style w:type="character" w:styleId="ListLabel148">
    <w:name w:val="ListLabel 148"/>
    <w:qFormat/>
    <w:rPr>
      <w:b/>
    </w:rPr>
  </w:style>
  <w:style w:type="character" w:styleId="ListLabel149">
    <w:name w:val="ListLabel 149"/>
    <w:qFormat/>
    <w:rPr>
      <w:b w:val="false"/>
      <w:i w:val="false"/>
      <w:iCs/>
    </w:rPr>
  </w:style>
  <w:style w:type="character" w:styleId="ListLabel150">
    <w:name w:val="ListLabel 150"/>
    <w:qFormat/>
    <w:rPr>
      <w:rFonts w:cs="Arial"/>
      <w:b w:val="false"/>
      <w:i w:val="false"/>
      <w:iCs/>
      <w:color w:val="00000A"/>
    </w:rPr>
  </w:style>
  <w:style w:type="character" w:styleId="ListLabel151">
    <w:name w:val="ListLabel 151"/>
    <w:qFormat/>
    <w:rPr>
      <w:b/>
    </w:rPr>
  </w:style>
  <w:style w:type="character" w:styleId="ListLabel152">
    <w:name w:val="ListLabel 152"/>
    <w:qFormat/>
    <w:rPr>
      <w:b w:val="false"/>
      <w:i w:val="false"/>
      <w:iCs/>
    </w:rPr>
  </w:style>
  <w:style w:type="character" w:styleId="ListLabel153">
    <w:name w:val="ListLabel 153"/>
    <w:qFormat/>
    <w:rPr>
      <w:b w:val="false"/>
      <w:i w:val="false"/>
      <w:iCs/>
      <w:color w:val="00000A"/>
      <w:sz w:val="24"/>
    </w:rPr>
  </w:style>
  <w:style w:type="character" w:styleId="ListLabel154">
    <w:name w:val="ListLabel 154"/>
    <w:qFormat/>
    <w:rPr>
      <w:rFonts w:ascii="Arial" w:hAnsi="Arial" w:cs="Times New Roman"/>
      <w:b/>
      <w:sz w:val="22"/>
    </w:rPr>
  </w:style>
  <w:style w:type="paragraph" w:styleId="Ttulo">
    <w:name w:val="Título"/>
    <w:basedOn w:val="Normal"/>
    <w:next w:val="Corpodetexto"/>
    <w:qFormat/>
    <w:pPr>
      <w:keepNext w:val="true"/>
      <w:spacing w:before="240" w:after="120"/>
    </w:pPr>
    <w:rPr>
      <w:rFonts w:ascii="Liberation Sans" w:hAnsi="Liberation Sans" w:eastAsia="Microsoft YaHei" w:cs="Arial"/>
      <w:sz w:val="28"/>
      <w:szCs w:val="28"/>
    </w:rPr>
  </w:style>
  <w:style w:type="paragraph" w:styleId="Corpodetexto">
    <w:name w:val="Body Text"/>
    <w:basedOn w:val="Normal"/>
    <w:pPr>
      <w:spacing w:lineRule="auto" w:line="288" w:before="0" w:after="140"/>
    </w:pPr>
    <w:rPr/>
  </w:style>
  <w:style w:type="paragraph" w:styleId="Lista">
    <w:name w:val="List"/>
    <w:basedOn w:val="Corpode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Quote">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Ttulo1"/>
    <w:next w:val="Normal"/>
    <w:link w:val="Nivel01Char"/>
    <w:qFormat/>
    <w:rsid w:val="009f7713"/>
    <w:pPr>
      <w:spacing w:lineRule="auto" w:line="276" w:before="480" w:after="120"/>
      <w:ind w:right="-15" w:hanging="0"/>
      <w:jc w:val="both"/>
    </w:pPr>
    <w:rPr>
      <w:rFonts w:ascii="Arial" w:hAnsi="Arial" w:cs="Times New Roman"/>
      <w:b/>
      <w:bCs/>
      <w:color w:val="000000"/>
      <w:sz w:val="20"/>
      <w:szCs w:val="20"/>
    </w:rPr>
  </w:style>
  <w:style w:type="paragraph" w:styleId="PADRO" w:customStyle="1">
    <w:name w:val="PADRÃO"/>
    <w:qFormat/>
    <w:rsid w:val="009f7713"/>
    <w:pPr>
      <w:keepNext w:val="true"/>
      <w:widowControl w:val="false"/>
      <w:shd w:val="clear" w:color="auto" w:fill="FFFFFF"/>
      <w:bidi w:val="0"/>
      <w:spacing w:lineRule="auto" w:line="276" w:before="119" w:after="119"/>
      <w:ind w:firstLine="567"/>
      <w:jc w:val="both"/>
      <w:textAlignment w:val="baseline"/>
    </w:pPr>
    <w:rPr>
      <w:rFonts w:ascii="Ecofont_Spranq_eco_Sans" w:hAnsi="Ecofont_Spranq_eco_Sans" w:eastAsia="WenQuanYi Micro Hei" w:cs="Lohit Hindi"/>
      <w:color w:val="00000A"/>
      <w:kern w:val="0"/>
      <w:sz w:val="20"/>
      <w:szCs w:val="24"/>
      <w:lang w:val="pt-BR" w:eastAsia="zh-CN" w:bidi="hi-IN"/>
    </w:rPr>
  </w:style>
  <w:style w:type="paragraph" w:styleId="ListParagraph">
    <w:name w:val="List Paragraph"/>
    <w:basedOn w:val="Normal"/>
    <w:uiPriority w:val="34"/>
    <w:qFormat/>
    <w:rsid w:val="006a70c8"/>
    <w:pPr>
      <w:spacing w:before="0" w:after="0"/>
      <w:ind w:left="720" w:hanging="0"/>
      <w:contextualSpacing/>
    </w:pPr>
    <w:rPr/>
  </w:style>
  <w:style w:type="paragraph" w:styleId="Citao2" w:customStyle="1">
    <w:name w:val="citação 2"/>
    <w:basedOn w:val="Quote"/>
    <w:link w:val="citao2Char"/>
    <w:qFormat/>
    <w:rsid w:val="006a70c8"/>
    <w:pPr>
      <w:shd w:val="clear" w:fill="FFFFCC"/>
    </w:pPr>
    <w:rPr>
      <w:szCs w:val="20"/>
    </w:rPr>
  </w:style>
  <w:style w:type="paragraph" w:styleId="Citao1" w:customStyle="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unhideWhenUsed/>
    <w:qFormat/>
    <w:rsid w:val="003d08af"/>
    <w:pPr/>
    <w:rPr>
      <w:szCs w:val="20"/>
    </w:rPr>
  </w:style>
  <w:style w:type="paragraph" w:styleId="Annotationsubject">
    <w:name w:val="annotation subject"/>
    <w:basedOn w:val="Annotationtext"/>
    <w:link w:val="AssuntodocomentrioChar"/>
    <w:uiPriority w:val="99"/>
    <w:semiHidden/>
    <w:unhideWhenUsed/>
    <w:qFormat/>
    <w:rsid w:val="003d08af"/>
    <w:pPr/>
    <w:rPr>
      <w:b/>
      <w:bCs/>
    </w:rPr>
  </w:style>
  <w:style w:type="paragraph" w:styleId="Nivel1" w:customStyle="1">
    <w:name w:val="Nivel1"/>
    <w:basedOn w:val="Ttulo1"/>
    <w:qFormat/>
    <w:rsid w:val="00fa4ef2"/>
    <w:pPr>
      <w:spacing w:lineRule="auto" w:line="276" w:before="480" w:after="0"/>
      <w:ind w:left="644" w:hanging="360"/>
      <w:jc w:val="both"/>
    </w:pPr>
    <w:rPr>
      <w:rFonts w:ascii="Arial" w:hAnsi="Arial" w:cs="Times New Roman"/>
      <w:b/>
      <w:color w:val="000000"/>
      <w:sz w:val="20"/>
      <w:szCs w:val="20"/>
    </w:rPr>
  </w:style>
  <w:style w:type="paragraph" w:styleId="Nivel2" w:customStyle="1">
    <w:name w:val="Nivel 2"/>
    <w:qFormat/>
    <w:rsid w:val="002f5eff"/>
    <w:pPr>
      <w:widowControl/>
      <w:bidi w:val="0"/>
      <w:spacing w:lineRule="auto" w:line="276" w:before="120" w:after="120"/>
      <w:jc w:val="both"/>
    </w:pPr>
    <w:rPr>
      <w:rFonts w:ascii="Ecofont_Spranq_eco_Sans" w:hAnsi="Ecofont_Spranq_eco_Sans" w:eastAsia="Arial Unicode MS" w:cs="Times New Roman"/>
      <w:color w:val="00000A"/>
      <w:kern w:val="0"/>
      <w:sz w:val="20"/>
      <w:szCs w:val="20"/>
      <w:lang w:val="pt-BR" w:eastAsia="pt-BR" w:bidi="ar-SA"/>
    </w:rPr>
  </w:style>
  <w:style w:type="paragraph" w:styleId="Nivel11" w:customStyle="1">
    <w:name w:val="Nivel 1"/>
    <w:basedOn w:val="Nivel2"/>
    <w:qFormat/>
    <w:rsid w:val="002f5eff"/>
    <w:pPr/>
    <w:rPr>
      <w:rFonts w:cs="Arial"/>
      <w:b/>
    </w:rPr>
  </w:style>
  <w:style w:type="paragraph" w:styleId="Nivel3" w:customStyle="1">
    <w:name w:val="Nivel 3"/>
    <w:basedOn w:val="Nivel2"/>
    <w:qFormat/>
    <w:rsid w:val="002f5eff"/>
    <w:pPr/>
    <w:rPr>
      <w:rFonts w:cs="Arial"/>
      <w:color w:val="000000"/>
    </w:rPr>
  </w:style>
  <w:style w:type="paragraph" w:styleId="Nivel4" w:customStyle="1">
    <w:name w:val="Nivel 4"/>
    <w:basedOn w:val="Nivel3"/>
    <w:link w:val="Nivel4Char"/>
    <w:qFormat/>
    <w:rsid w:val="002f5eff"/>
    <w:pPr/>
    <w:rPr>
      <w:color w:val="00000A"/>
    </w:rPr>
  </w:style>
  <w:style w:type="paragraph" w:styleId="Nivel5" w:customStyle="1">
    <w:name w:val="Nivel 5"/>
    <w:basedOn w:val="Nivel4"/>
    <w:qFormat/>
    <w:rsid w:val="002f5eff"/>
    <w:pPr>
      <w:tabs>
        <w:tab w:val="left" w:pos="360" w:leader="none"/>
      </w:tabs>
    </w:pPr>
    <w:rPr/>
  </w:style>
  <w:style w:type="paragraph" w:styleId="BalloonText">
    <w:name w:val="Balloon Text"/>
    <w:basedOn w:val="Normal"/>
    <w:link w:val="TextodebaloChar"/>
    <w:uiPriority w:val="99"/>
    <w:semiHidden/>
    <w:unhideWhenUsed/>
    <w:qFormat/>
    <w:rsid w:val="00731d60"/>
    <w:pPr/>
    <w:rPr>
      <w:rFonts w:ascii="Segoe UI" w:hAnsi="Segoe UI" w:cs="Segoe UI"/>
      <w:sz w:val="18"/>
      <w:szCs w:val="18"/>
    </w:rPr>
  </w:style>
  <w:style w:type="paragraph" w:styleId="Cabealho">
    <w:name w:val="Header"/>
    <w:basedOn w:val="Normal"/>
    <w:link w:val="CabealhoChar"/>
    <w:uiPriority w:val="99"/>
    <w:unhideWhenUsed/>
    <w:rsid w:val="00805244"/>
    <w:pPr>
      <w:tabs>
        <w:tab w:val="center" w:pos="4252" w:leader="none"/>
        <w:tab w:val="right" w:pos="8504" w:leader="none"/>
      </w:tabs>
    </w:pPr>
    <w:rPr/>
  </w:style>
  <w:style w:type="paragraph" w:styleId="Rodap">
    <w:name w:val="Footer"/>
    <w:basedOn w:val="Normal"/>
    <w:link w:val="RodapChar"/>
    <w:uiPriority w:val="99"/>
    <w:unhideWhenUsed/>
    <w:rsid w:val="00805244"/>
    <w:pPr>
      <w:tabs>
        <w:tab w:val="center" w:pos="4252" w:leader="none"/>
        <w:tab w:val="right" w:pos="8504" w:leader="none"/>
      </w:tabs>
    </w:pPr>
    <w:rPr/>
  </w:style>
  <w:style w:type="paragraph" w:styleId="TOCHeading">
    <w:name w:val="TOC Heading"/>
    <w:basedOn w:val="Ttulo1"/>
    <w:next w:val="Normal"/>
    <w:uiPriority w:val="39"/>
    <w:unhideWhenUsed/>
    <w:qFormat/>
    <w:rsid w:val="009a58ef"/>
    <w:pPr>
      <w:spacing w:lineRule="auto" w:line="259"/>
    </w:pPr>
    <w:rPr/>
  </w:style>
  <w:style w:type="paragraph" w:styleId="Ttulododocumento">
    <w:name w:val="Title"/>
    <w:basedOn w:val="Normal"/>
    <w:next w:val="Normal"/>
    <w:link w:val="TtuloChar"/>
    <w:uiPriority w:val="10"/>
    <w:qFormat/>
    <w:rsid w:val="000453ab"/>
    <w:pPr>
      <w:spacing w:before="0" w:after="0"/>
      <w:contextualSpacing/>
    </w:pPr>
    <w:rPr>
      <w:rFonts w:ascii="Calibri Light" w:hAnsi="Calibri Light" w:eastAsia="" w:cs="" w:asciiTheme="majorHAnsi" w:cstheme="majorBidi" w:eastAsiaTheme="majorEastAsia" w:hAnsiTheme="majorHAnsi"/>
      <w:spacing w:val="-10"/>
      <w:sz w:val="56"/>
      <w:szCs w:val="56"/>
    </w:rPr>
  </w:style>
  <w:style w:type="paragraph" w:styleId="Sumrio1">
    <w:name w:val="TOC 1"/>
    <w:basedOn w:val="Normal"/>
    <w:next w:val="Normal"/>
    <w:autoRedefine/>
    <w:uiPriority w:val="39"/>
    <w:unhideWhenUsed/>
    <w:rsid w:val="00441059"/>
    <w:pPr>
      <w:spacing w:before="0" w:after="100"/>
    </w:pPr>
    <w:rPr/>
  </w:style>
  <w:style w:type="paragraph" w:styleId="SemEspaamento">
    <w:name w:val="Sem Espaçamento"/>
    <w:qFormat/>
    <w:pPr>
      <w:widowControl w:val="false"/>
      <w:suppressAutoHyphens w:val="true"/>
      <w:bidi w:val="0"/>
      <w:jc w:val="left"/>
    </w:pPr>
    <w:rPr>
      <w:rFonts w:ascii="Calibri" w:hAnsi="Calibri" w:eastAsia="Calibri" w:cs="Mangal" w:asciiTheme="minorHAnsi" w:eastAsiaTheme="minorHAnsi" w:hAnsiTheme="minorHAnsi"/>
      <w:color w:val="00000A"/>
      <w:kern w:val="0"/>
      <w:sz w:val="20"/>
      <w:szCs w:val="21"/>
      <w:lang w:val="pt-BR" w:eastAsia="en-US" w:bidi="ar-SA"/>
    </w:rPr>
  </w:style>
  <w:style w:type="paragraph" w:styleId="LONormal">
    <w:name w:val="LO-Normal"/>
    <w:qFormat/>
    <w:pPr>
      <w:widowControl w:val="false"/>
      <w:suppressAutoHyphens w:val="true"/>
      <w:bidi w:val="0"/>
      <w:jc w:val="left"/>
    </w:pPr>
    <w:rPr>
      <w:rFonts w:ascii="Calibri" w:hAnsi="Calibri" w:eastAsia="Calibri" w:cs="" w:asciiTheme="minorHAnsi" w:cstheme="minorBidi" w:eastAsiaTheme="minorHAnsi" w:hAnsiTheme="minorHAnsi"/>
      <w:color w:val="00000A"/>
      <w:kern w:val="0"/>
      <w:sz w:val="20"/>
      <w:szCs w:val="22"/>
      <w:lang w:val="pt-BR" w:eastAsia="en-US" w:bidi="ar-SA"/>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numbering" w:styleId="NoList" w:default="1">
    <w:name w:val="No List"/>
    <w:uiPriority w:val="99"/>
    <w:semiHidden/>
    <w:unhideWhenUsed/>
    <w:qFormat/>
  </w:style>
  <w:style w:type="numbering" w:styleId="WW8Num2">
    <w:name w:val="WW8Num2"/>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rsid w:val="002f5eff"/>
    <w:pPr>
      <w:spacing w:after="0" w:line="240" w:lineRule="auto"/>
    </w:pPr>
    <w:rPr>
      <w:rFonts w:eastAsiaTheme="minorEastAsia"/>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planalto.gov.br/ccivil_03/LEIS/L6404consol.htm"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Relationship Id="rId14" Type="http://schemas.openxmlformats.org/officeDocument/2006/relationships/customXml" Target="../customXml/item2.xml"/><Relationship Id="rId15" Type="http://schemas.openxmlformats.org/officeDocument/2006/relationships/customXml" Target="../customXml/item3.xml"/><Relationship Id="rId16" Type="http://schemas.openxmlformats.org/officeDocument/2006/relationships/customXml" Target="../customXml/item4.xml"/>
</Relationships>
</file>

<file path=word/_rels/header2.xml.rels><?xml version="1.0" encoding="UTF-8"?>
<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E802D5-3E3C-457C-A882-A5828C40F41C}">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3.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4.xml><?xml version="1.0" encoding="utf-8"?>
<ds:datastoreItem xmlns:ds="http://schemas.openxmlformats.org/officeDocument/2006/customXml" ds:itemID="{EAD6537D-CAD8-4A7D-A68C-9F13AC072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Application>LibreOffice/5.4.6.2$Windows_x86 LibreOffice_project/4014ce260a04f1026ba855d3b8d91541c224eab8</Application>
  <Pages>16</Pages>
  <Words>5294</Words>
  <Characters>30371</Characters>
  <CharactersWithSpaces>35266</CharactersWithSpaces>
  <Paragraphs>266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2022-06-03T17:31:00Z</dcterms:created>
  <dc:creator/>
  <dc:description/>
  <dc:language>pt-BR</dc:language>
  <cp:lastModifiedBy/>
  <dcterms:modified xsi:type="dcterms:W3CDTF">2023-01-13T13:10:27Z</dcterms:modified>
  <cp:revision>23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0x01010046D1D902F9AFB0458A156704A0C1878F</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